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0332" w14:textId="77777777" w:rsidR="006456E6" w:rsidRDefault="004B1B2C">
      <w:pPr>
        <w:widowControl w:val="0"/>
        <w:jc w:val="center"/>
        <w:rPr>
          <w:rFonts w:asciiTheme="majorHAnsi" w:hAnsiTheme="majorHAnsi" w:cs="Times New Roman"/>
          <w:sz w:val="24"/>
          <w:szCs w:val="24"/>
        </w:rPr>
      </w:pPr>
      <w:r>
        <w:rPr>
          <w:rFonts w:asciiTheme="majorHAnsi" w:hAnsiTheme="majorHAnsi" w:cs="Times New Roman"/>
          <w:sz w:val="24"/>
          <w:szCs w:val="24"/>
        </w:rPr>
        <w:t>PRIVATE &amp; CONFIDENTIAL</w:t>
      </w:r>
    </w:p>
    <w:p w14:paraId="6F6CA0FA" w14:textId="77777777" w:rsidR="006456E6" w:rsidRDefault="004B1B2C">
      <w:pPr>
        <w:pStyle w:val="Heading3"/>
        <w:keepNext w:val="0"/>
        <w:widowControl w:val="0"/>
        <w:spacing w:after="0"/>
        <w:jc w:val="center"/>
        <w:rPr>
          <w:rFonts w:asciiTheme="majorHAnsi" w:hAnsiTheme="majorHAnsi" w:cs="Times New Roman"/>
          <w:b w:val="0"/>
          <w:sz w:val="24"/>
          <w:szCs w:val="24"/>
        </w:rPr>
      </w:pPr>
      <w:r>
        <w:rPr>
          <w:rFonts w:asciiTheme="majorHAnsi" w:hAnsiTheme="majorHAnsi" w:cs="Times New Roman"/>
          <w:b w:val="0"/>
          <w:sz w:val="24"/>
          <w:szCs w:val="24"/>
        </w:rPr>
        <w:t>NON-BINDING TERM SHEET</w:t>
      </w:r>
    </w:p>
    <w:p w14:paraId="356894ED" w14:textId="77777777" w:rsidR="006456E6" w:rsidRDefault="006456E6">
      <w:pPr>
        <w:rPr>
          <w:rFonts w:asciiTheme="majorHAnsi" w:hAnsiTheme="majorHAnsi" w:cs="Times New Roman"/>
          <w:sz w:val="24"/>
          <w:szCs w:val="24"/>
        </w:rPr>
      </w:pPr>
    </w:p>
    <w:p w14:paraId="0826168D" w14:textId="77777777" w:rsidR="006456E6" w:rsidRDefault="004B1B2C">
      <w:pPr>
        <w:pStyle w:val="Heading3"/>
        <w:keepNext w:val="0"/>
        <w:widowControl w:val="0"/>
        <w:spacing w:after="0"/>
        <w:jc w:val="center"/>
        <w:rPr>
          <w:rFonts w:asciiTheme="majorHAnsi" w:hAnsiTheme="majorHAnsi" w:cs="Times New Roman"/>
          <w:b w:val="0"/>
          <w:sz w:val="24"/>
          <w:szCs w:val="24"/>
        </w:rPr>
      </w:pPr>
      <w:r>
        <w:rPr>
          <w:rFonts w:asciiTheme="majorHAnsi" w:hAnsiTheme="majorHAnsi" w:cs="Times New Roman"/>
          <w:b w:val="0"/>
          <w:sz w:val="24"/>
          <w:szCs w:val="24"/>
        </w:rPr>
        <w:t>PROPOSED TERMS FOR THE OFFERING OF</w:t>
      </w:r>
    </w:p>
    <w:p w14:paraId="383BD985" w14:textId="77777777" w:rsidR="006456E6" w:rsidRDefault="004B1B2C">
      <w:pPr>
        <w:pStyle w:val="Heading3"/>
        <w:keepNext w:val="0"/>
        <w:widowControl w:val="0"/>
        <w:spacing w:after="0"/>
        <w:jc w:val="center"/>
        <w:rPr>
          <w:rFonts w:asciiTheme="majorHAnsi" w:hAnsiTheme="majorHAnsi" w:cs="Times New Roman"/>
          <w:b w:val="0"/>
          <w:sz w:val="24"/>
          <w:szCs w:val="24"/>
        </w:rPr>
      </w:pPr>
      <w:r>
        <w:rPr>
          <w:rFonts w:asciiTheme="majorHAnsi" w:hAnsiTheme="majorHAnsi" w:cs="Times New Roman"/>
          <w:b w:val="0"/>
          <w:sz w:val="24"/>
          <w:szCs w:val="24"/>
        </w:rPr>
        <w:t>CONVERTIBLE PROMISSORY NOTES</w:t>
      </w:r>
    </w:p>
    <w:p w14:paraId="6B1482EE" w14:textId="77777777" w:rsidR="006456E6" w:rsidRDefault="006456E6">
      <w:pPr>
        <w:widowControl w:val="0"/>
        <w:jc w:val="center"/>
        <w:rPr>
          <w:rFonts w:asciiTheme="majorHAnsi" w:hAnsiTheme="majorHAnsi" w:cs="Times New Roman"/>
          <w:sz w:val="24"/>
          <w:szCs w:val="24"/>
        </w:rPr>
      </w:pPr>
    </w:p>
    <w:p w14:paraId="0CEFC678" w14:textId="77777777" w:rsidR="006456E6" w:rsidRDefault="004B1B2C">
      <w:pPr>
        <w:widowControl w:val="0"/>
        <w:jc w:val="center"/>
        <w:rPr>
          <w:rFonts w:asciiTheme="majorHAnsi" w:hAnsiTheme="majorHAnsi" w:cs="Times New Roman"/>
          <w:sz w:val="24"/>
          <w:szCs w:val="24"/>
        </w:rPr>
      </w:pPr>
      <w:r>
        <w:rPr>
          <w:rFonts w:asciiTheme="majorHAnsi" w:hAnsiTheme="majorHAnsi" w:cs="Times New Roman"/>
          <w:sz w:val="24"/>
          <w:szCs w:val="24"/>
        </w:rPr>
        <w:t>FOR</w:t>
      </w:r>
    </w:p>
    <w:p w14:paraId="659DB38C" w14:textId="77777777" w:rsidR="006456E6" w:rsidRDefault="006456E6">
      <w:pPr>
        <w:widowControl w:val="0"/>
        <w:jc w:val="center"/>
        <w:rPr>
          <w:rFonts w:asciiTheme="majorHAnsi" w:hAnsiTheme="majorHAnsi" w:cs="Times New Roman"/>
          <w:sz w:val="24"/>
          <w:szCs w:val="24"/>
        </w:rPr>
      </w:pPr>
    </w:p>
    <w:p w14:paraId="6DFDE669" w14:textId="77777777" w:rsidR="006456E6" w:rsidRDefault="004B1B2C">
      <w:pPr>
        <w:widowControl w:val="0"/>
        <w:jc w:val="center"/>
        <w:rPr>
          <w:rFonts w:asciiTheme="majorHAnsi" w:hAnsiTheme="majorHAnsi" w:cs="Times New Roman"/>
          <w:sz w:val="24"/>
          <w:szCs w:val="24"/>
        </w:rPr>
      </w:pPr>
      <w:r>
        <w:rPr>
          <w:rFonts w:asciiTheme="majorHAnsi" w:hAnsiTheme="majorHAnsi" w:cs="Times New Roman"/>
          <w:sz w:val="24"/>
          <w:szCs w:val="24"/>
        </w:rPr>
        <w:t>INGENIOUS, INC.</w:t>
      </w:r>
    </w:p>
    <w:p w14:paraId="407D4135" w14:textId="77777777" w:rsidR="006456E6" w:rsidRDefault="006456E6">
      <w:pPr>
        <w:widowControl w:val="0"/>
        <w:jc w:val="center"/>
        <w:rPr>
          <w:rFonts w:asciiTheme="majorHAnsi" w:hAnsiTheme="majorHAnsi" w:cs="Times New Roman"/>
          <w:sz w:val="24"/>
          <w:szCs w:val="24"/>
        </w:rPr>
      </w:pPr>
    </w:p>
    <w:p w14:paraId="203B59DC" w14:textId="77777777" w:rsidR="006456E6" w:rsidRDefault="004B1B2C">
      <w:pPr>
        <w:widowControl w:val="0"/>
        <w:spacing w:after="240"/>
        <w:ind w:right="-29"/>
        <w:jc w:val="both"/>
        <w:rPr>
          <w:rFonts w:asciiTheme="majorHAnsi" w:hAnsiTheme="majorHAnsi" w:cs="Times New Roman"/>
          <w:sz w:val="24"/>
          <w:szCs w:val="24"/>
        </w:rPr>
      </w:pPr>
      <w:r>
        <w:rPr>
          <w:rFonts w:asciiTheme="majorHAnsi" w:hAnsiTheme="majorHAnsi" w:cs="Times New Roman"/>
          <w:color w:val="000000"/>
          <w:sz w:val="24"/>
          <w:szCs w:val="24"/>
        </w:rPr>
        <w:t xml:space="preserve">The following is a summary of the principal terms related to a proposed offering of </w:t>
      </w:r>
      <w:r>
        <w:rPr>
          <w:rFonts w:asciiTheme="majorHAnsi" w:hAnsiTheme="majorHAnsi" w:cs="Times New Roman"/>
          <w:sz w:val="24"/>
          <w:szCs w:val="24"/>
        </w:rPr>
        <w:t xml:space="preserve">unsecured convertible promissory notes by Ingenious, Inc. </w:t>
      </w:r>
      <w:r>
        <w:rPr>
          <w:rFonts w:asciiTheme="majorHAnsi" w:hAnsiTheme="majorHAnsi" w:cs="Times New Roman"/>
          <w:color w:val="000000"/>
          <w:sz w:val="24"/>
          <w:szCs w:val="24"/>
        </w:rPr>
        <w:t>(the “</w:t>
      </w:r>
      <w:r>
        <w:rPr>
          <w:rFonts w:asciiTheme="majorHAnsi" w:hAnsiTheme="majorHAnsi" w:cs="Times New Roman"/>
          <w:color w:val="000000"/>
          <w:sz w:val="24"/>
          <w:szCs w:val="24"/>
          <w:u w:val="single"/>
        </w:rPr>
        <w:t>Offering</w:t>
      </w:r>
      <w:r>
        <w:rPr>
          <w:rFonts w:asciiTheme="majorHAnsi" w:hAnsiTheme="majorHAnsi" w:cs="Times New Roman"/>
          <w:color w:val="000000"/>
          <w:sz w:val="24"/>
          <w:szCs w:val="24"/>
        </w:rPr>
        <w:t xml:space="preserve">”).  </w:t>
      </w:r>
      <w:r>
        <w:rPr>
          <w:rFonts w:asciiTheme="majorHAnsi" w:hAnsiTheme="majorHAnsi" w:cs="Times New Roman"/>
          <w:sz w:val="24"/>
          <w:szCs w:val="24"/>
        </w:rPr>
        <w:t>This Term Sheet is non-binding and no party shall have any rights, duties or obligations hereun</w:t>
      </w:r>
      <w:r>
        <w:rPr>
          <w:rFonts w:asciiTheme="majorHAnsi" w:hAnsiTheme="majorHAnsi" w:cs="Times New Roman"/>
          <w:sz w:val="24"/>
          <w:szCs w:val="24"/>
        </w:rPr>
        <w:t xml:space="preserve">der unless and until final, binding documentation is entered into.  This Term Sheet is not an offer or solicitation for an offer for the sale of securities. </w:t>
      </w:r>
    </w:p>
    <w:tbl>
      <w:tblPr>
        <w:tblW w:w="9468" w:type="dxa"/>
        <w:tblLayout w:type="fixed"/>
        <w:tblLook w:val="0000" w:firstRow="0" w:lastRow="0" w:firstColumn="0" w:lastColumn="0" w:noHBand="0" w:noVBand="0"/>
      </w:tblPr>
      <w:tblGrid>
        <w:gridCol w:w="2268"/>
        <w:gridCol w:w="7200"/>
      </w:tblGrid>
      <w:tr w:rsidR="006456E6" w14:paraId="59CD7D8B" w14:textId="77777777">
        <w:tc>
          <w:tcPr>
            <w:tcW w:w="2268" w:type="dxa"/>
          </w:tcPr>
          <w:p w14:paraId="1FF30AF7"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The Company</w:t>
            </w:r>
          </w:p>
        </w:tc>
        <w:tc>
          <w:tcPr>
            <w:tcW w:w="7200" w:type="dxa"/>
          </w:tcPr>
          <w:p w14:paraId="49F8687E"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bCs/>
                <w:sz w:val="24"/>
                <w:szCs w:val="24"/>
              </w:rPr>
              <w:t xml:space="preserve">Ingenious, Inc., a Delaware corporation </w:t>
            </w:r>
            <w:r>
              <w:rPr>
                <w:rFonts w:asciiTheme="majorHAnsi" w:hAnsiTheme="majorHAnsi" w:cs="Times New Roman"/>
                <w:b w:val="0"/>
                <w:sz w:val="24"/>
                <w:szCs w:val="24"/>
              </w:rPr>
              <w:t>(the "</w:t>
            </w:r>
            <w:r>
              <w:rPr>
                <w:rFonts w:asciiTheme="majorHAnsi" w:hAnsiTheme="majorHAnsi" w:cs="Times New Roman"/>
                <w:b w:val="0"/>
                <w:sz w:val="24"/>
                <w:szCs w:val="24"/>
                <w:u w:val="single"/>
              </w:rPr>
              <w:t>Company</w:t>
            </w:r>
            <w:r>
              <w:rPr>
                <w:rFonts w:asciiTheme="majorHAnsi" w:hAnsiTheme="majorHAnsi" w:cs="Times New Roman"/>
                <w:b w:val="0"/>
                <w:sz w:val="24"/>
                <w:szCs w:val="24"/>
              </w:rPr>
              <w:t xml:space="preserve">").  </w:t>
            </w:r>
          </w:p>
        </w:tc>
      </w:tr>
      <w:tr w:rsidR="006456E6" w14:paraId="7145153D" w14:textId="77777777">
        <w:tc>
          <w:tcPr>
            <w:tcW w:w="2268" w:type="dxa"/>
          </w:tcPr>
          <w:p w14:paraId="3B561A2F"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Investors</w:t>
            </w:r>
          </w:p>
        </w:tc>
        <w:tc>
          <w:tcPr>
            <w:tcW w:w="7200" w:type="dxa"/>
          </w:tcPr>
          <w:p w14:paraId="71374AFF" w14:textId="77777777" w:rsidR="006456E6" w:rsidRDefault="004B1B2C">
            <w:pPr>
              <w:widowControl w:val="0"/>
              <w:spacing w:after="120"/>
              <w:jc w:val="both"/>
              <w:rPr>
                <w:rFonts w:asciiTheme="majorHAnsi" w:hAnsiTheme="majorHAnsi" w:cs="Times New Roman"/>
                <w:sz w:val="24"/>
                <w:szCs w:val="24"/>
              </w:rPr>
            </w:pPr>
            <w:r>
              <w:rPr>
                <w:rFonts w:asciiTheme="majorHAnsi" w:hAnsiTheme="majorHAnsi" w:cs="Times New Roman"/>
                <w:sz w:val="24"/>
                <w:szCs w:val="24"/>
              </w:rPr>
              <w:t xml:space="preserve">Angel </w:t>
            </w:r>
            <w:r>
              <w:rPr>
                <w:rFonts w:asciiTheme="majorHAnsi" w:hAnsiTheme="majorHAnsi" w:cs="Times New Roman"/>
                <w:sz w:val="24"/>
                <w:szCs w:val="24"/>
              </w:rPr>
              <w:t>Network and other accredited investors approved by the Company and Angel Network.</w:t>
            </w:r>
          </w:p>
        </w:tc>
      </w:tr>
      <w:tr w:rsidR="006456E6" w14:paraId="651DEFD4" w14:textId="77777777">
        <w:tc>
          <w:tcPr>
            <w:tcW w:w="2268" w:type="dxa"/>
          </w:tcPr>
          <w:p w14:paraId="024CC810"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Capitalization</w:t>
            </w:r>
          </w:p>
        </w:tc>
        <w:tc>
          <w:tcPr>
            <w:tcW w:w="7200" w:type="dxa"/>
          </w:tcPr>
          <w:p w14:paraId="56A3CDE0" w14:textId="77777777" w:rsidR="006456E6" w:rsidRDefault="004B1B2C">
            <w:pPr>
              <w:widowControl w:val="0"/>
              <w:spacing w:after="120"/>
              <w:jc w:val="both"/>
              <w:rPr>
                <w:rFonts w:asciiTheme="majorHAnsi" w:hAnsiTheme="majorHAnsi" w:cs="Times New Roman"/>
                <w:sz w:val="24"/>
                <w:szCs w:val="24"/>
              </w:rPr>
            </w:pPr>
            <w:r>
              <w:rPr>
                <w:rFonts w:asciiTheme="majorHAnsi" w:hAnsiTheme="majorHAnsi" w:cs="Times New Roman"/>
                <w:sz w:val="24"/>
                <w:szCs w:val="24"/>
              </w:rPr>
              <w:t xml:space="preserve">The Company’s capitalization as of the date hereof is set forth in </w:t>
            </w:r>
            <w:r>
              <w:rPr>
                <w:rFonts w:asciiTheme="majorHAnsi" w:hAnsiTheme="majorHAnsi" w:cs="Times New Roman"/>
                <w:sz w:val="24"/>
                <w:szCs w:val="24"/>
                <w:u w:val="single"/>
              </w:rPr>
              <w:t>Exhibit A</w:t>
            </w:r>
            <w:r>
              <w:rPr>
                <w:rFonts w:asciiTheme="majorHAnsi" w:hAnsiTheme="majorHAnsi" w:cs="Times New Roman"/>
                <w:sz w:val="24"/>
                <w:szCs w:val="24"/>
              </w:rPr>
              <w:t xml:space="preserve"> hereto.</w:t>
            </w:r>
          </w:p>
        </w:tc>
      </w:tr>
      <w:tr w:rsidR="006456E6" w14:paraId="1508348A" w14:textId="77777777">
        <w:tc>
          <w:tcPr>
            <w:tcW w:w="2268" w:type="dxa"/>
          </w:tcPr>
          <w:p w14:paraId="4886869C"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Use of Proceeds</w:t>
            </w:r>
          </w:p>
        </w:tc>
        <w:tc>
          <w:tcPr>
            <w:tcW w:w="7200" w:type="dxa"/>
            <w:shd w:val="clear" w:color="auto" w:fill="FFFFFF" w:themeFill="background1"/>
          </w:tcPr>
          <w:p w14:paraId="6BE6EC68" w14:textId="77777777" w:rsidR="006456E6" w:rsidRDefault="004B1B2C">
            <w:pPr>
              <w:widowControl w:val="0"/>
              <w:spacing w:after="120"/>
              <w:jc w:val="both"/>
              <w:rPr>
                <w:rFonts w:asciiTheme="majorHAnsi" w:hAnsiTheme="majorHAnsi" w:cs="Times New Roman"/>
                <w:bCs/>
                <w:sz w:val="24"/>
                <w:szCs w:val="24"/>
              </w:rPr>
            </w:pPr>
            <w:r>
              <w:rPr>
                <w:rFonts w:asciiTheme="majorHAnsi" w:hAnsiTheme="majorHAnsi" w:cs="Times New Roman"/>
                <w:bCs/>
                <w:sz w:val="24"/>
                <w:szCs w:val="24"/>
              </w:rPr>
              <w:t xml:space="preserve">The proceeds would be used by the Company to fund the further development and commercialization of the Company’s products. </w:t>
            </w:r>
          </w:p>
        </w:tc>
      </w:tr>
      <w:tr w:rsidR="006456E6" w14:paraId="6E7D69C3" w14:textId="77777777">
        <w:tc>
          <w:tcPr>
            <w:tcW w:w="2268" w:type="dxa"/>
          </w:tcPr>
          <w:p w14:paraId="76D45531"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Minimum/MaximumProceeds</w:t>
            </w:r>
          </w:p>
        </w:tc>
        <w:tc>
          <w:tcPr>
            <w:tcW w:w="7200" w:type="dxa"/>
            <w:shd w:val="clear" w:color="auto" w:fill="FFFFFF" w:themeFill="background1"/>
          </w:tcPr>
          <w:p w14:paraId="4AD52872" w14:textId="77777777" w:rsidR="006456E6" w:rsidRDefault="004B1B2C">
            <w:pPr>
              <w:widowControl w:val="0"/>
              <w:spacing w:after="120"/>
              <w:jc w:val="both"/>
              <w:rPr>
                <w:rFonts w:asciiTheme="majorHAnsi" w:hAnsiTheme="majorHAnsi" w:cs="Times New Roman"/>
                <w:bCs/>
                <w:sz w:val="24"/>
                <w:szCs w:val="24"/>
              </w:rPr>
            </w:pPr>
            <w:r>
              <w:rPr>
                <w:rFonts w:asciiTheme="majorHAnsi" w:hAnsiTheme="majorHAnsi" w:cs="Times New Roman"/>
                <w:bCs/>
                <w:sz w:val="24"/>
                <w:szCs w:val="24"/>
              </w:rPr>
              <w:t xml:space="preserve">A minimum of $250,000; maximum of $500,000. </w:t>
            </w:r>
          </w:p>
        </w:tc>
      </w:tr>
      <w:tr w:rsidR="006456E6" w14:paraId="08BBB31E" w14:textId="77777777">
        <w:tc>
          <w:tcPr>
            <w:tcW w:w="2268" w:type="dxa"/>
          </w:tcPr>
          <w:p w14:paraId="5C4F6190"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Interest</w:t>
            </w:r>
          </w:p>
        </w:tc>
        <w:tc>
          <w:tcPr>
            <w:tcW w:w="7200" w:type="dxa"/>
          </w:tcPr>
          <w:p w14:paraId="6C5EB7BD"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10% per annum, simple interest.  Interest would be p</w:t>
            </w:r>
            <w:r>
              <w:rPr>
                <w:rFonts w:asciiTheme="majorHAnsi" w:hAnsiTheme="majorHAnsi" w:cs="Times New Roman"/>
                <w:b w:val="0"/>
                <w:sz w:val="24"/>
                <w:szCs w:val="24"/>
              </w:rPr>
              <w:t>ayable in cash upon maturity of the Notes or an Event of Default, and would be converted into equity upon a Next Round of Financing or a Significant Transaction.</w:t>
            </w:r>
          </w:p>
        </w:tc>
      </w:tr>
      <w:tr w:rsidR="006456E6" w14:paraId="06F4E450" w14:textId="77777777">
        <w:tc>
          <w:tcPr>
            <w:tcW w:w="2268" w:type="dxa"/>
          </w:tcPr>
          <w:p w14:paraId="23D33747"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Maturity Date</w:t>
            </w:r>
          </w:p>
        </w:tc>
        <w:tc>
          <w:tcPr>
            <w:tcW w:w="7200" w:type="dxa"/>
          </w:tcPr>
          <w:p w14:paraId="78FC6D2A"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December 31, 2024</w:t>
            </w:r>
          </w:p>
        </w:tc>
      </w:tr>
      <w:tr w:rsidR="006456E6" w14:paraId="03F5820D" w14:textId="77777777">
        <w:tc>
          <w:tcPr>
            <w:tcW w:w="2268" w:type="dxa"/>
          </w:tcPr>
          <w:p w14:paraId="7BE794DF"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 xml:space="preserve">Next Round of Financing </w:t>
            </w:r>
          </w:p>
          <w:p w14:paraId="7E47179C" w14:textId="77777777" w:rsidR="006456E6" w:rsidRDefault="006456E6">
            <w:pPr>
              <w:pStyle w:val="Heading3"/>
              <w:keepNext w:val="0"/>
              <w:widowControl w:val="0"/>
              <w:spacing w:after="120"/>
              <w:rPr>
                <w:rFonts w:asciiTheme="majorHAnsi" w:hAnsiTheme="majorHAnsi" w:cs="Times New Roman"/>
                <w:b w:val="0"/>
                <w:iCs/>
                <w:sz w:val="24"/>
                <w:szCs w:val="24"/>
              </w:rPr>
            </w:pPr>
          </w:p>
        </w:tc>
        <w:tc>
          <w:tcPr>
            <w:tcW w:w="7200" w:type="dxa"/>
          </w:tcPr>
          <w:p w14:paraId="0861AB65" w14:textId="77777777" w:rsidR="006456E6" w:rsidRDefault="004B1B2C">
            <w:pPr>
              <w:jc w:val="both"/>
              <w:rPr>
                <w:rFonts w:asciiTheme="majorHAnsi" w:hAnsiTheme="majorHAnsi" w:cs="Times New Roman"/>
                <w:bCs/>
                <w:sz w:val="24"/>
                <w:szCs w:val="24"/>
              </w:rPr>
            </w:pPr>
            <w:r>
              <w:rPr>
                <w:rFonts w:asciiTheme="majorHAnsi" w:hAnsiTheme="majorHAnsi" w:cs="Times New Roman"/>
                <w:bCs/>
                <w:sz w:val="24"/>
                <w:szCs w:val="24"/>
              </w:rPr>
              <w:t xml:space="preserve">The Notes would be </w:t>
            </w:r>
            <w:r>
              <w:rPr>
                <w:rFonts w:asciiTheme="majorHAnsi" w:hAnsiTheme="majorHAnsi" w:cs="Times New Roman"/>
                <w:bCs/>
                <w:sz w:val="24"/>
                <w:szCs w:val="24"/>
              </w:rPr>
              <w:t>automatically converted into Equity Securities of the Company upon the closing of the first round of equity in the minimum amount of $1,000,000 (“</w:t>
            </w:r>
            <w:r>
              <w:rPr>
                <w:rFonts w:asciiTheme="majorHAnsi" w:hAnsiTheme="majorHAnsi" w:cs="Times New Roman"/>
                <w:bCs/>
                <w:sz w:val="24"/>
                <w:szCs w:val="24"/>
                <w:u w:val="single"/>
              </w:rPr>
              <w:t>Next Round Financing</w:t>
            </w:r>
            <w:r>
              <w:rPr>
                <w:rFonts w:asciiTheme="majorHAnsi" w:hAnsiTheme="majorHAnsi" w:cs="Times New Roman"/>
                <w:bCs/>
                <w:sz w:val="24"/>
                <w:szCs w:val="24"/>
              </w:rPr>
              <w:t>”).  Upon the Next Round Financing, each Noteholder would be entitled to receive the numbe</w:t>
            </w:r>
            <w:r>
              <w:rPr>
                <w:rFonts w:asciiTheme="majorHAnsi" w:hAnsiTheme="majorHAnsi" w:cs="Times New Roman"/>
                <w:bCs/>
                <w:sz w:val="24"/>
                <w:szCs w:val="24"/>
              </w:rPr>
              <w:t xml:space="preserve">r of Equity Securities that equals (a) the outstanding principal and accrued and unpaid interest on such Noteholder’s Note, </w:t>
            </w:r>
            <w:r>
              <w:rPr>
                <w:rFonts w:asciiTheme="majorHAnsi" w:hAnsiTheme="majorHAnsi" w:cs="Times New Roman"/>
                <w:bCs/>
                <w:sz w:val="24"/>
                <w:szCs w:val="24"/>
                <w:u w:val="single"/>
              </w:rPr>
              <w:t>divided</w:t>
            </w:r>
            <w:r>
              <w:rPr>
                <w:rFonts w:asciiTheme="majorHAnsi" w:hAnsiTheme="majorHAnsi" w:cs="Times New Roman"/>
                <w:bCs/>
                <w:sz w:val="24"/>
                <w:szCs w:val="24"/>
              </w:rPr>
              <w:t xml:space="preserve"> by lesser of (b) the price per Equity Security (as paid by the investors in the Next Round Financing) </w:t>
            </w:r>
            <w:r>
              <w:rPr>
                <w:rFonts w:asciiTheme="majorHAnsi" w:hAnsiTheme="majorHAnsi" w:cs="Times New Roman"/>
                <w:bCs/>
                <w:sz w:val="24"/>
                <w:szCs w:val="24"/>
                <w:u w:val="single"/>
              </w:rPr>
              <w:t>multiplied</w:t>
            </w:r>
            <w:r>
              <w:rPr>
                <w:rFonts w:asciiTheme="majorHAnsi" w:hAnsiTheme="majorHAnsi" w:cs="Times New Roman"/>
                <w:bCs/>
                <w:sz w:val="24"/>
                <w:szCs w:val="24"/>
              </w:rPr>
              <w:t xml:space="preserve"> by the Conv</w:t>
            </w:r>
            <w:r>
              <w:rPr>
                <w:rFonts w:asciiTheme="majorHAnsi" w:hAnsiTheme="majorHAnsi" w:cs="Times New Roman"/>
                <w:bCs/>
                <w:sz w:val="24"/>
                <w:szCs w:val="24"/>
              </w:rPr>
              <w:t>ersion Discount</w:t>
            </w:r>
            <w:r>
              <w:rPr>
                <w:rFonts w:asciiTheme="majorHAnsi" w:hAnsiTheme="majorHAnsi" w:cs="Times New Roman"/>
                <w:b/>
                <w:bCs/>
                <w:sz w:val="24"/>
                <w:szCs w:val="24"/>
              </w:rPr>
              <w:t xml:space="preserve"> </w:t>
            </w:r>
            <w:r>
              <w:rPr>
                <w:rFonts w:asciiTheme="majorHAnsi" w:hAnsiTheme="majorHAnsi" w:cs="Times New Roman"/>
                <w:bCs/>
                <w:sz w:val="24"/>
                <w:szCs w:val="24"/>
              </w:rPr>
              <w:t>or (c) the price obtained by dividing (i) $2,000,000 (the “</w:t>
            </w:r>
            <w:r>
              <w:rPr>
                <w:rFonts w:asciiTheme="majorHAnsi" w:hAnsiTheme="majorHAnsi" w:cs="Times New Roman"/>
                <w:bCs/>
                <w:sz w:val="24"/>
                <w:szCs w:val="24"/>
                <w:u w:val="single"/>
              </w:rPr>
              <w:t>Valuation Cap</w:t>
            </w:r>
            <w:r>
              <w:rPr>
                <w:rFonts w:asciiTheme="majorHAnsi" w:hAnsiTheme="majorHAnsi" w:cs="Times New Roman"/>
                <w:bCs/>
                <w:sz w:val="24"/>
                <w:szCs w:val="24"/>
              </w:rPr>
              <w:t>”) by (ii) the aggregate number of outstanding Company shares on a fully-diluted basis as of immediately prior to the initial closing of the Next Round Financing.  “Ful</w:t>
            </w:r>
            <w:r>
              <w:rPr>
                <w:rFonts w:asciiTheme="majorHAnsi" w:hAnsiTheme="majorHAnsi" w:cs="Times New Roman"/>
                <w:bCs/>
                <w:sz w:val="24"/>
                <w:szCs w:val="24"/>
              </w:rPr>
              <w:t xml:space="preserve">ly-diluted basis” will include all issued and outstanding </w:t>
            </w:r>
            <w:r>
              <w:rPr>
                <w:rFonts w:asciiTheme="majorHAnsi" w:hAnsiTheme="majorHAnsi" w:cs="Times New Roman"/>
                <w:bCs/>
                <w:sz w:val="24"/>
                <w:szCs w:val="24"/>
              </w:rPr>
              <w:lastRenderedPageBreak/>
              <w:t xml:space="preserve">shares of stock, vested and unvested options and convertible securities (including the Notes). </w:t>
            </w:r>
          </w:p>
          <w:p w14:paraId="25F8EE93" w14:textId="77777777" w:rsidR="006456E6" w:rsidRDefault="006456E6">
            <w:pPr>
              <w:rPr>
                <w:rFonts w:asciiTheme="majorHAnsi" w:hAnsiTheme="majorHAnsi" w:cs="Times New Roman"/>
                <w:sz w:val="24"/>
                <w:szCs w:val="24"/>
              </w:rPr>
            </w:pPr>
          </w:p>
          <w:p w14:paraId="59E54FAC" w14:textId="77777777" w:rsidR="006456E6" w:rsidRDefault="004B1B2C">
            <w:pPr>
              <w:jc w:val="both"/>
              <w:rPr>
                <w:rFonts w:asciiTheme="majorHAnsi" w:hAnsiTheme="majorHAnsi" w:cs="Times New Roman"/>
                <w:bCs/>
                <w:sz w:val="24"/>
                <w:szCs w:val="24"/>
              </w:rPr>
            </w:pPr>
            <w:r>
              <w:rPr>
                <w:rFonts w:asciiTheme="majorHAnsi" w:hAnsiTheme="majorHAnsi" w:cs="Times New Roman"/>
                <w:bCs/>
                <w:sz w:val="24"/>
                <w:szCs w:val="24"/>
              </w:rPr>
              <w:t>“</w:t>
            </w:r>
            <w:r>
              <w:rPr>
                <w:rFonts w:asciiTheme="majorHAnsi" w:hAnsiTheme="majorHAnsi" w:cs="Times New Roman"/>
                <w:bCs/>
                <w:sz w:val="24"/>
                <w:szCs w:val="24"/>
                <w:u w:val="single"/>
              </w:rPr>
              <w:t>Equity Securities</w:t>
            </w:r>
            <w:r>
              <w:rPr>
                <w:rFonts w:asciiTheme="majorHAnsi" w:hAnsiTheme="majorHAnsi" w:cs="Times New Roman"/>
                <w:bCs/>
                <w:sz w:val="24"/>
                <w:szCs w:val="24"/>
              </w:rPr>
              <w:t xml:space="preserve">” means (A) in connection with a Next Round Financing, the type of securities that </w:t>
            </w:r>
            <w:r>
              <w:rPr>
                <w:rFonts w:asciiTheme="majorHAnsi" w:hAnsiTheme="majorHAnsi" w:cs="Times New Roman"/>
                <w:bCs/>
                <w:sz w:val="24"/>
                <w:szCs w:val="24"/>
              </w:rPr>
              <w:t>are offered and sold to investors in the Next Round Financing, and (B) in connection with a Significant Transaction, the type of securities that are offered and sold, in connection with such transaction, to the applicable purchaser(s) of the Company or any</w:t>
            </w:r>
            <w:r>
              <w:rPr>
                <w:rFonts w:asciiTheme="majorHAnsi" w:hAnsiTheme="majorHAnsi" w:cs="Times New Roman"/>
                <w:bCs/>
                <w:sz w:val="24"/>
                <w:szCs w:val="24"/>
              </w:rPr>
              <w:t xml:space="preserve"> portion thereof.  </w:t>
            </w:r>
          </w:p>
          <w:p w14:paraId="4D2E6442" w14:textId="77777777" w:rsidR="006456E6" w:rsidRDefault="006456E6">
            <w:pPr>
              <w:jc w:val="both"/>
              <w:rPr>
                <w:rFonts w:asciiTheme="majorHAnsi" w:hAnsiTheme="majorHAnsi" w:cs="Times New Roman"/>
                <w:bCs/>
                <w:sz w:val="24"/>
                <w:szCs w:val="24"/>
              </w:rPr>
            </w:pPr>
          </w:p>
          <w:p w14:paraId="07C90B9A" w14:textId="77777777" w:rsidR="006456E6" w:rsidRDefault="004B1B2C">
            <w:pPr>
              <w:jc w:val="both"/>
              <w:rPr>
                <w:rFonts w:asciiTheme="majorHAnsi" w:hAnsiTheme="majorHAnsi" w:cs="Times New Roman"/>
                <w:bCs/>
                <w:sz w:val="24"/>
                <w:szCs w:val="24"/>
              </w:rPr>
            </w:pPr>
            <w:r>
              <w:rPr>
                <w:rFonts w:asciiTheme="majorHAnsi" w:hAnsiTheme="majorHAnsi" w:cs="Times New Roman"/>
                <w:bCs/>
                <w:sz w:val="24"/>
                <w:szCs w:val="24"/>
              </w:rPr>
              <w:t>“</w:t>
            </w:r>
            <w:r>
              <w:rPr>
                <w:rFonts w:asciiTheme="majorHAnsi" w:hAnsiTheme="majorHAnsi" w:cs="Times New Roman"/>
                <w:bCs/>
                <w:sz w:val="24"/>
                <w:szCs w:val="24"/>
                <w:u w:val="single"/>
              </w:rPr>
              <w:t>Conversion Discount</w:t>
            </w:r>
            <w:r>
              <w:rPr>
                <w:rFonts w:asciiTheme="majorHAnsi" w:hAnsiTheme="majorHAnsi" w:cs="Times New Roman"/>
                <w:bCs/>
                <w:sz w:val="24"/>
                <w:szCs w:val="24"/>
              </w:rPr>
              <w:t>” means  0.7.</w:t>
            </w:r>
          </w:p>
          <w:p w14:paraId="46CEBB55" w14:textId="77777777" w:rsidR="006456E6" w:rsidRDefault="006456E6">
            <w:pPr>
              <w:rPr>
                <w:rFonts w:asciiTheme="majorHAnsi" w:hAnsiTheme="majorHAnsi" w:cs="Times New Roman"/>
                <w:b/>
                <w:sz w:val="24"/>
                <w:szCs w:val="24"/>
              </w:rPr>
            </w:pPr>
          </w:p>
        </w:tc>
      </w:tr>
      <w:tr w:rsidR="006456E6" w14:paraId="32CA48E9" w14:textId="77777777">
        <w:tc>
          <w:tcPr>
            <w:tcW w:w="2268" w:type="dxa"/>
          </w:tcPr>
          <w:p w14:paraId="7C8ADBD9"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lastRenderedPageBreak/>
              <w:t xml:space="preserve">Significant Transaction </w:t>
            </w:r>
          </w:p>
        </w:tc>
        <w:tc>
          <w:tcPr>
            <w:tcW w:w="7200" w:type="dxa"/>
          </w:tcPr>
          <w:p w14:paraId="76211DB2"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 xml:space="preserve">The Notes would be automatically converted into Equity Securities of the Company upon a sale of all or substantially all the assets of the Company, a merger of the </w:t>
            </w:r>
            <w:r>
              <w:rPr>
                <w:rFonts w:asciiTheme="majorHAnsi" w:hAnsiTheme="majorHAnsi" w:cs="Times New Roman"/>
                <w:b w:val="0"/>
                <w:sz w:val="24"/>
                <w:szCs w:val="24"/>
              </w:rPr>
              <w:t>Company pursuant to which the equity holders of the Company cease to own 50% or more of the equity securities of the surviving company, or the equity holders of the Company sell more than 50% of the issued and outstanding securities of the Company (as oppo</w:t>
            </w:r>
            <w:r>
              <w:rPr>
                <w:rFonts w:asciiTheme="majorHAnsi" w:hAnsiTheme="majorHAnsi" w:cs="Times New Roman"/>
                <w:b w:val="0"/>
                <w:sz w:val="24"/>
                <w:szCs w:val="24"/>
              </w:rPr>
              <w:t>sed to the Company issuing equity securities) (“</w:t>
            </w:r>
            <w:r>
              <w:rPr>
                <w:rFonts w:asciiTheme="majorHAnsi" w:hAnsiTheme="majorHAnsi" w:cs="Times New Roman"/>
                <w:b w:val="0"/>
                <w:sz w:val="24"/>
                <w:szCs w:val="24"/>
                <w:u w:val="single"/>
              </w:rPr>
              <w:t>Significant Transaction</w:t>
            </w:r>
            <w:r>
              <w:rPr>
                <w:rFonts w:asciiTheme="majorHAnsi" w:hAnsiTheme="majorHAnsi" w:cs="Times New Roman"/>
                <w:b w:val="0"/>
                <w:sz w:val="24"/>
                <w:szCs w:val="24"/>
              </w:rPr>
              <w:t>”).  In such event, each Noteholder would be entitled to receive the number of Equity Security that equals (a) the outstanding principal and accrued and unpaid interest on such Notehold</w:t>
            </w:r>
            <w:r>
              <w:rPr>
                <w:rFonts w:asciiTheme="majorHAnsi" w:hAnsiTheme="majorHAnsi" w:cs="Times New Roman"/>
                <w:b w:val="0"/>
                <w:sz w:val="24"/>
                <w:szCs w:val="24"/>
              </w:rPr>
              <w:t xml:space="preserve">er’s Note, </w:t>
            </w:r>
            <w:r>
              <w:rPr>
                <w:rFonts w:asciiTheme="majorHAnsi" w:hAnsiTheme="majorHAnsi" w:cs="Times New Roman"/>
                <w:b w:val="0"/>
                <w:sz w:val="24"/>
                <w:szCs w:val="24"/>
                <w:u w:val="single"/>
              </w:rPr>
              <w:t>divided</w:t>
            </w:r>
            <w:r>
              <w:rPr>
                <w:rFonts w:asciiTheme="majorHAnsi" w:hAnsiTheme="majorHAnsi" w:cs="Times New Roman"/>
                <w:b w:val="0"/>
                <w:sz w:val="24"/>
                <w:szCs w:val="24"/>
              </w:rPr>
              <w:t xml:space="preserve"> by (b) the greater of (</w:t>
            </w:r>
            <w:r>
              <w:rPr>
                <w:rFonts w:ascii="Cambria Math" w:hAnsi="Cambria Math" w:cs="Cambria Math"/>
                <w:b w:val="0"/>
                <w:sz w:val="24"/>
                <w:szCs w:val="24"/>
              </w:rPr>
              <w:t xml:space="preserve">A) </w:t>
            </w:r>
            <w:r>
              <w:rPr>
                <w:rFonts w:asciiTheme="majorHAnsi" w:hAnsiTheme="majorHAnsi" w:cs="Times New Roman"/>
                <w:b w:val="0"/>
                <w:sz w:val="24"/>
                <w:szCs w:val="24"/>
              </w:rPr>
              <w:t xml:space="preserve">(b) </w:t>
            </w:r>
            <w:r>
              <w:rPr>
                <w:rFonts w:asciiTheme="majorHAnsi" w:hAnsiTheme="majorHAnsi" w:cs="Times New Roman"/>
                <w:b w:val="0"/>
                <w:bCs/>
                <w:sz w:val="24"/>
                <w:szCs w:val="24"/>
              </w:rPr>
              <w:t>an amount equal to t</w:t>
            </w:r>
            <w:r>
              <w:rPr>
                <w:rFonts w:asciiTheme="majorHAnsi" w:hAnsiTheme="majorHAnsi" w:cs="Times New Roman"/>
                <w:b w:val="0"/>
                <w:sz w:val="24"/>
                <w:szCs w:val="24"/>
              </w:rPr>
              <w:t xml:space="preserve">he value of the Company imputed in the Significant Transaction, </w:t>
            </w:r>
            <w:r>
              <w:rPr>
                <w:rFonts w:asciiTheme="majorHAnsi" w:hAnsiTheme="majorHAnsi" w:cs="Times New Roman"/>
                <w:b w:val="0"/>
                <w:sz w:val="24"/>
                <w:szCs w:val="24"/>
                <w:u w:val="single"/>
              </w:rPr>
              <w:t>multiplied</w:t>
            </w:r>
            <w:r>
              <w:rPr>
                <w:rFonts w:asciiTheme="majorHAnsi" w:hAnsiTheme="majorHAnsi" w:cs="Times New Roman"/>
                <w:b w:val="0"/>
                <w:sz w:val="24"/>
                <w:szCs w:val="24"/>
              </w:rPr>
              <w:t xml:space="preserve"> by the Conversion Discount or (B) the Valuation Cap, and </w:t>
            </w:r>
            <w:r>
              <w:rPr>
                <w:rFonts w:asciiTheme="majorHAnsi" w:hAnsiTheme="majorHAnsi" w:cs="Times New Roman"/>
                <w:b w:val="0"/>
                <w:sz w:val="24"/>
                <w:szCs w:val="24"/>
                <w:u w:val="single"/>
              </w:rPr>
              <w:t>divided</w:t>
            </w:r>
            <w:r>
              <w:rPr>
                <w:rFonts w:asciiTheme="majorHAnsi" w:hAnsiTheme="majorHAnsi" w:cs="Times New Roman"/>
                <w:b w:val="0"/>
                <w:sz w:val="24"/>
                <w:szCs w:val="24"/>
              </w:rPr>
              <w:t xml:space="preserve"> by the number of the Company’s outstanding shar</w:t>
            </w:r>
            <w:r>
              <w:rPr>
                <w:rFonts w:asciiTheme="majorHAnsi" w:hAnsiTheme="majorHAnsi" w:cs="Times New Roman"/>
                <w:b w:val="0"/>
                <w:sz w:val="24"/>
                <w:szCs w:val="24"/>
              </w:rPr>
              <w:t>es on a fully-diluted basis.  Upon a Significant Transaction, in the alternative, at each Noteholder’s option, such Noteholder will have a right to receive an amount equal to the accrued and unpaid interest and two times the outstanding principal amount of</w:t>
            </w:r>
            <w:r>
              <w:rPr>
                <w:rFonts w:asciiTheme="majorHAnsi" w:hAnsiTheme="majorHAnsi" w:cs="Times New Roman"/>
                <w:b w:val="0"/>
                <w:sz w:val="24"/>
                <w:szCs w:val="24"/>
              </w:rPr>
              <w:t xml:space="preserve"> the Note.</w:t>
            </w:r>
          </w:p>
          <w:p w14:paraId="6F7D3E41" w14:textId="77777777" w:rsidR="006456E6" w:rsidRDefault="004B1B2C">
            <w:pPr>
              <w:pStyle w:val="Heading3"/>
              <w:keepNext w:val="0"/>
              <w:widowControl w:val="0"/>
              <w:spacing w:after="120"/>
              <w:jc w:val="both"/>
              <w:rPr>
                <w:rFonts w:asciiTheme="majorHAnsi" w:hAnsiTheme="majorHAnsi"/>
                <w:sz w:val="24"/>
                <w:szCs w:val="24"/>
              </w:rPr>
            </w:pPr>
            <w:r>
              <w:rPr>
                <w:rFonts w:asciiTheme="majorHAnsi" w:hAnsiTheme="majorHAnsi" w:cs="Times New Roman"/>
                <w:b w:val="0"/>
                <w:sz w:val="24"/>
                <w:szCs w:val="24"/>
              </w:rPr>
              <w:t xml:space="preserve">If no Significant Transaction occurs by the Maturity Date, each Noteholder would be entitled to receive the number of Company shares that equals (a) the outstanding principal and accrued and unpaid interest on such Noteholder’s Note, </w:t>
            </w:r>
            <w:r>
              <w:rPr>
                <w:rFonts w:asciiTheme="majorHAnsi" w:hAnsiTheme="majorHAnsi" w:cs="Times New Roman"/>
                <w:b w:val="0"/>
                <w:sz w:val="24"/>
                <w:szCs w:val="24"/>
                <w:u w:val="single"/>
              </w:rPr>
              <w:t>divided</w:t>
            </w:r>
            <w:r>
              <w:rPr>
                <w:rFonts w:asciiTheme="majorHAnsi" w:hAnsiTheme="majorHAnsi" w:cs="Times New Roman"/>
                <w:b w:val="0"/>
                <w:sz w:val="24"/>
                <w:szCs w:val="24"/>
              </w:rPr>
              <w:t xml:space="preserve"> by </w:t>
            </w:r>
            <w:r>
              <w:rPr>
                <w:rFonts w:asciiTheme="majorHAnsi" w:hAnsiTheme="majorHAnsi" w:cs="Times New Roman"/>
                <w:b w:val="0"/>
                <w:sz w:val="24"/>
                <w:szCs w:val="24"/>
              </w:rPr>
              <w:t>(b) the price obtained by dividing (i) the Valuation Cap by (ii) the aggregate number of outstanding shares of the Company as of immediately prior to the Maturity Date on a fully-diluted basis.</w:t>
            </w:r>
          </w:p>
        </w:tc>
      </w:tr>
      <w:tr w:rsidR="006456E6" w14:paraId="58EA8E5C" w14:textId="77777777">
        <w:tc>
          <w:tcPr>
            <w:tcW w:w="2268" w:type="dxa"/>
          </w:tcPr>
          <w:p w14:paraId="155BF1E2"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Prepayment</w:t>
            </w:r>
          </w:p>
        </w:tc>
        <w:tc>
          <w:tcPr>
            <w:tcW w:w="7200" w:type="dxa"/>
          </w:tcPr>
          <w:p w14:paraId="035B1969"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The Notes may not be prepaid.</w:t>
            </w:r>
          </w:p>
        </w:tc>
      </w:tr>
      <w:tr w:rsidR="006456E6" w14:paraId="3A2BC511" w14:textId="77777777">
        <w:tc>
          <w:tcPr>
            <w:tcW w:w="2268" w:type="dxa"/>
          </w:tcPr>
          <w:p w14:paraId="3964489F"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Closing Date</w:t>
            </w:r>
          </w:p>
        </w:tc>
        <w:tc>
          <w:tcPr>
            <w:tcW w:w="7200" w:type="dxa"/>
          </w:tcPr>
          <w:p w14:paraId="5742D680"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June 30, 2023.</w:t>
            </w:r>
          </w:p>
        </w:tc>
      </w:tr>
      <w:tr w:rsidR="006456E6" w14:paraId="019FBFDB" w14:textId="77777777">
        <w:tc>
          <w:tcPr>
            <w:tcW w:w="2268" w:type="dxa"/>
          </w:tcPr>
          <w:p w14:paraId="3C33EB7A"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Event of Default</w:t>
            </w:r>
          </w:p>
        </w:tc>
        <w:tc>
          <w:tcPr>
            <w:tcW w:w="7200" w:type="dxa"/>
          </w:tcPr>
          <w:p w14:paraId="2EDD7A0B"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Upon an Event of Default, the holders of a majority of the outstanding principal of the Notes (a “</w:t>
            </w:r>
            <w:r>
              <w:rPr>
                <w:rFonts w:asciiTheme="majorHAnsi" w:hAnsiTheme="majorHAnsi" w:cs="Times New Roman"/>
                <w:b w:val="0"/>
                <w:sz w:val="24"/>
                <w:szCs w:val="24"/>
                <w:u w:val="single"/>
              </w:rPr>
              <w:t>Majority in Interest</w:t>
            </w:r>
            <w:r>
              <w:rPr>
                <w:rFonts w:asciiTheme="majorHAnsi" w:hAnsiTheme="majorHAnsi" w:cs="Times New Roman"/>
                <w:b w:val="0"/>
                <w:sz w:val="24"/>
                <w:szCs w:val="24"/>
              </w:rPr>
              <w:t xml:space="preserve">”) would be entitled to exercise all rights and remedies set forth in the Notes, including </w:t>
            </w:r>
            <w:r>
              <w:rPr>
                <w:rFonts w:asciiTheme="majorHAnsi" w:hAnsiTheme="majorHAnsi" w:cs="Times New Roman"/>
                <w:b w:val="0"/>
                <w:sz w:val="24"/>
                <w:szCs w:val="24"/>
              </w:rPr>
              <w:lastRenderedPageBreak/>
              <w:t>collecting all</w:t>
            </w:r>
            <w:r>
              <w:rPr>
                <w:rFonts w:asciiTheme="majorHAnsi" w:hAnsiTheme="majorHAnsi" w:cs="Times New Roman"/>
                <w:b w:val="0"/>
                <w:sz w:val="24"/>
                <w:szCs w:val="24"/>
              </w:rPr>
              <w:t xml:space="preserve"> principal and unpaid interest.  An “</w:t>
            </w:r>
            <w:r>
              <w:rPr>
                <w:rFonts w:asciiTheme="majorHAnsi" w:hAnsiTheme="majorHAnsi" w:cs="Times New Roman"/>
                <w:b w:val="0"/>
                <w:sz w:val="24"/>
                <w:szCs w:val="24"/>
                <w:u w:val="single"/>
              </w:rPr>
              <w:t>Event of Default</w:t>
            </w:r>
            <w:r>
              <w:rPr>
                <w:rFonts w:asciiTheme="majorHAnsi" w:hAnsiTheme="majorHAnsi" w:cs="Times New Roman"/>
                <w:b w:val="0"/>
                <w:sz w:val="24"/>
                <w:szCs w:val="24"/>
              </w:rPr>
              <w:t>” means a failure to pay any interest or principal on the Notes when due, a failure to comply with any material provision of the Notes or the Note Purchase Agreement (as hereafter defined) after applicab</w:t>
            </w:r>
            <w:r>
              <w:rPr>
                <w:rFonts w:asciiTheme="majorHAnsi" w:hAnsiTheme="majorHAnsi" w:cs="Times New Roman"/>
                <w:b w:val="0"/>
                <w:sz w:val="24"/>
                <w:szCs w:val="24"/>
              </w:rPr>
              <w:t>le notice and opportunity to cure, or the bankruptcy of the Company or the appointment of a receiver or custodian or similar officer of any substantial part of the Company’s property.</w:t>
            </w:r>
          </w:p>
        </w:tc>
      </w:tr>
      <w:tr w:rsidR="006456E6" w14:paraId="1E125F95" w14:textId="77777777">
        <w:tc>
          <w:tcPr>
            <w:tcW w:w="2268" w:type="dxa"/>
          </w:tcPr>
          <w:p w14:paraId="688FEF73" w14:textId="77777777" w:rsidR="006456E6" w:rsidRDefault="004B1B2C">
            <w:pPr>
              <w:pStyle w:val="Heading3"/>
              <w:keepNext w:val="0"/>
              <w:widowControl w:val="0"/>
              <w:spacing w:after="120"/>
              <w:rPr>
                <w:rFonts w:asciiTheme="majorHAnsi" w:hAnsiTheme="majorHAnsi" w:cs="Times New Roman"/>
                <w:b w:val="0"/>
                <w:bCs/>
                <w:iCs/>
                <w:sz w:val="24"/>
                <w:szCs w:val="24"/>
              </w:rPr>
            </w:pPr>
            <w:r>
              <w:rPr>
                <w:rFonts w:asciiTheme="majorHAnsi" w:hAnsiTheme="majorHAnsi" w:cs="Times New Roman"/>
                <w:b w:val="0"/>
                <w:bCs/>
                <w:iCs/>
                <w:sz w:val="24"/>
                <w:szCs w:val="24"/>
              </w:rPr>
              <w:lastRenderedPageBreak/>
              <w:t>Information Rights</w:t>
            </w:r>
          </w:p>
        </w:tc>
        <w:tc>
          <w:tcPr>
            <w:tcW w:w="7200" w:type="dxa"/>
          </w:tcPr>
          <w:p w14:paraId="74E20623" w14:textId="77777777" w:rsidR="006456E6" w:rsidRDefault="004B1B2C">
            <w:pPr>
              <w:widowControl w:val="0"/>
              <w:spacing w:after="120"/>
              <w:jc w:val="both"/>
              <w:rPr>
                <w:rFonts w:asciiTheme="majorHAnsi" w:hAnsiTheme="majorHAnsi" w:cs="Times New Roman"/>
                <w:sz w:val="24"/>
                <w:szCs w:val="24"/>
              </w:rPr>
            </w:pPr>
            <w:r>
              <w:rPr>
                <w:rFonts w:asciiTheme="majorHAnsi" w:hAnsiTheme="majorHAnsi" w:cs="Times New Roman"/>
                <w:sz w:val="24"/>
                <w:szCs w:val="24"/>
              </w:rPr>
              <w:t xml:space="preserve">As long as the Notes are outstanding, the holders of the Notes would be entitled to receive internally generated quarterly financial statements of the Company and audited annual financial statements. </w:t>
            </w:r>
          </w:p>
        </w:tc>
      </w:tr>
      <w:tr w:rsidR="006456E6" w14:paraId="3E8899FD" w14:textId="77777777">
        <w:tc>
          <w:tcPr>
            <w:tcW w:w="2268" w:type="dxa"/>
          </w:tcPr>
          <w:p w14:paraId="41E99C23" w14:textId="77777777" w:rsidR="006456E6" w:rsidRDefault="004B1B2C">
            <w:pPr>
              <w:pStyle w:val="Heading3"/>
              <w:keepNext w:val="0"/>
              <w:widowControl w:val="0"/>
              <w:spacing w:after="120"/>
              <w:rPr>
                <w:rFonts w:asciiTheme="majorHAnsi" w:hAnsiTheme="majorHAnsi" w:cs="Times New Roman"/>
                <w:b w:val="0"/>
                <w:bCs/>
                <w:iCs/>
                <w:sz w:val="24"/>
                <w:szCs w:val="24"/>
              </w:rPr>
            </w:pPr>
            <w:r>
              <w:rPr>
                <w:rFonts w:asciiTheme="majorHAnsi" w:hAnsiTheme="majorHAnsi" w:cs="Times New Roman"/>
                <w:b w:val="0"/>
                <w:bCs/>
                <w:iCs/>
                <w:sz w:val="24"/>
                <w:szCs w:val="24"/>
              </w:rPr>
              <w:t>Board Seat</w:t>
            </w:r>
          </w:p>
        </w:tc>
        <w:tc>
          <w:tcPr>
            <w:tcW w:w="7200" w:type="dxa"/>
          </w:tcPr>
          <w:p w14:paraId="3A17CFB8" w14:textId="77777777" w:rsidR="006456E6" w:rsidRDefault="004B1B2C">
            <w:pPr>
              <w:widowControl w:val="0"/>
              <w:spacing w:after="120"/>
              <w:jc w:val="both"/>
              <w:rPr>
                <w:rFonts w:asciiTheme="majorHAnsi" w:hAnsiTheme="majorHAnsi" w:cs="Times New Roman"/>
                <w:sz w:val="24"/>
                <w:szCs w:val="24"/>
              </w:rPr>
            </w:pPr>
            <w:r>
              <w:rPr>
                <w:rFonts w:asciiTheme="majorHAnsi" w:hAnsiTheme="majorHAnsi" w:cs="Times New Roman"/>
                <w:sz w:val="24"/>
                <w:szCs w:val="24"/>
              </w:rPr>
              <w:t>A Majority in Interest would be entitled to</w:t>
            </w:r>
            <w:r>
              <w:rPr>
                <w:rFonts w:asciiTheme="majorHAnsi" w:hAnsiTheme="majorHAnsi" w:cs="Times New Roman"/>
                <w:sz w:val="24"/>
                <w:szCs w:val="24"/>
              </w:rPr>
              <w:t xml:space="preserve"> designate one individual to serve on the Board.  The Noteholders’ right to elect such a director would cease upon a Significant Transaction.</w:t>
            </w:r>
          </w:p>
        </w:tc>
      </w:tr>
      <w:tr w:rsidR="006456E6" w14:paraId="222E429C" w14:textId="77777777">
        <w:tc>
          <w:tcPr>
            <w:tcW w:w="2268" w:type="dxa"/>
          </w:tcPr>
          <w:p w14:paraId="19885814"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Founder Matters</w:t>
            </w:r>
          </w:p>
        </w:tc>
        <w:tc>
          <w:tcPr>
            <w:tcW w:w="7200" w:type="dxa"/>
          </w:tcPr>
          <w:p w14:paraId="1EA7B097"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b w:val="0"/>
                <w:sz w:val="24"/>
                <w:szCs w:val="24"/>
              </w:rPr>
              <w:t>Each Founder’s shares will vest over four years in annual installments beginning at closing. Each</w:t>
            </w:r>
            <w:r>
              <w:rPr>
                <w:rFonts w:asciiTheme="majorHAnsi" w:hAnsiTheme="majorHAnsi"/>
                <w:b w:val="0"/>
                <w:sz w:val="24"/>
                <w:szCs w:val="24"/>
              </w:rPr>
              <w:t xml:space="preserve"> Founder will have assigned all relevant intellectual property to the Company before closing.  Founders and key employees will sign a non-compete/non-solicitation agreement for the term of employment and 3 years thereafter.  No severance.</w:t>
            </w:r>
          </w:p>
        </w:tc>
      </w:tr>
      <w:tr w:rsidR="006456E6" w14:paraId="28AAC499" w14:textId="77777777">
        <w:tc>
          <w:tcPr>
            <w:tcW w:w="2268" w:type="dxa"/>
          </w:tcPr>
          <w:p w14:paraId="63BE2586"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Amendments; Waiv</w:t>
            </w:r>
            <w:r>
              <w:rPr>
                <w:rFonts w:asciiTheme="majorHAnsi" w:hAnsiTheme="majorHAnsi" w:cs="Times New Roman"/>
                <w:b w:val="0"/>
                <w:iCs/>
                <w:sz w:val="24"/>
                <w:szCs w:val="24"/>
              </w:rPr>
              <w:t>er</w:t>
            </w:r>
          </w:p>
        </w:tc>
        <w:tc>
          <w:tcPr>
            <w:tcW w:w="7200" w:type="dxa"/>
          </w:tcPr>
          <w:p w14:paraId="10B27121"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The Notes, the Note Purchase Agreement between the Noteholders and the Company (“</w:t>
            </w:r>
            <w:r>
              <w:rPr>
                <w:rFonts w:asciiTheme="majorHAnsi" w:hAnsiTheme="majorHAnsi" w:cs="Times New Roman"/>
                <w:b w:val="0"/>
                <w:sz w:val="24"/>
                <w:szCs w:val="24"/>
                <w:u w:val="single"/>
              </w:rPr>
              <w:t>Note Purchase Agreement</w:t>
            </w:r>
            <w:r>
              <w:rPr>
                <w:rFonts w:asciiTheme="majorHAnsi" w:hAnsiTheme="majorHAnsi" w:cs="Times New Roman"/>
                <w:b w:val="0"/>
                <w:sz w:val="24"/>
                <w:szCs w:val="24"/>
              </w:rPr>
              <w:t>”), and other documents executed in connection with the Offering (collectively, the “</w:t>
            </w:r>
            <w:r>
              <w:rPr>
                <w:rFonts w:asciiTheme="majorHAnsi" w:hAnsiTheme="majorHAnsi" w:cs="Times New Roman"/>
                <w:b w:val="0"/>
                <w:sz w:val="24"/>
                <w:szCs w:val="24"/>
                <w:u w:val="single"/>
              </w:rPr>
              <w:t>Transaction Documents</w:t>
            </w:r>
            <w:r>
              <w:rPr>
                <w:rFonts w:asciiTheme="majorHAnsi" w:hAnsiTheme="majorHAnsi" w:cs="Times New Roman"/>
                <w:b w:val="0"/>
                <w:sz w:val="24"/>
                <w:szCs w:val="24"/>
              </w:rPr>
              <w:t>”) may be amended, and the rights granted t</w:t>
            </w:r>
            <w:r>
              <w:rPr>
                <w:rFonts w:asciiTheme="majorHAnsi" w:hAnsiTheme="majorHAnsi" w:cs="Times New Roman"/>
                <w:b w:val="0"/>
                <w:sz w:val="24"/>
                <w:szCs w:val="24"/>
              </w:rPr>
              <w:t xml:space="preserve">hereunder may be waived, by all Noteholders.  </w:t>
            </w:r>
            <w:r>
              <w:rPr>
                <w:rFonts w:asciiTheme="majorHAnsi" w:eastAsia="MS Mincho" w:hAnsiTheme="majorHAnsi" w:cs="Times New Roman"/>
                <w:sz w:val="24"/>
                <w:szCs w:val="24"/>
              </w:rPr>
              <w:t xml:space="preserve">  </w:t>
            </w:r>
          </w:p>
        </w:tc>
      </w:tr>
      <w:tr w:rsidR="006456E6" w14:paraId="472880FE" w14:textId="77777777">
        <w:tc>
          <w:tcPr>
            <w:tcW w:w="2268" w:type="dxa"/>
          </w:tcPr>
          <w:p w14:paraId="3A44F19B"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Transaction Documents</w:t>
            </w:r>
          </w:p>
        </w:tc>
        <w:tc>
          <w:tcPr>
            <w:tcW w:w="7200" w:type="dxa"/>
          </w:tcPr>
          <w:p w14:paraId="01F5A0DA"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 xml:space="preserve">The purchase of Notes is conditioned upon the execution, by each Noteholder, of the Transaction Documents, and completion by such Noteholder of all legal, accounting and </w:t>
            </w:r>
            <w:r>
              <w:rPr>
                <w:rFonts w:asciiTheme="majorHAnsi" w:hAnsiTheme="majorHAnsi" w:cs="Times New Roman"/>
                <w:b w:val="0"/>
                <w:sz w:val="24"/>
                <w:szCs w:val="24"/>
              </w:rPr>
              <w:t>business due diligence.  The Transaction Documents will include customary representations and warranties, which will be made by the Company and Founders.</w:t>
            </w:r>
          </w:p>
        </w:tc>
      </w:tr>
      <w:tr w:rsidR="006456E6" w14:paraId="3E62439E" w14:textId="77777777">
        <w:tc>
          <w:tcPr>
            <w:tcW w:w="2268" w:type="dxa"/>
          </w:tcPr>
          <w:p w14:paraId="77E97A25"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Assignment</w:t>
            </w:r>
          </w:p>
        </w:tc>
        <w:tc>
          <w:tcPr>
            <w:tcW w:w="7200" w:type="dxa"/>
          </w:tcPr>
          <w:p w14:paraId="52FFE789"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The Notes are fully-assignable.</w:t>
            </w:r>
          </w:p>
        </w:tc>
      </w:tr>
      <w:tr w:rsidR="006456E6" w14:paraId="42C10251" w14:textId="77777777">
        <w:tc>
          <w:tcPr>
            <w:tcW w:w="2268" w:type="dxa"/>
          </w:tcPr>
          <w:p w14:paraId="5AC8DDDD"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iCs/>
                <w:sz w:val="24"/>
                <w:szCs w:val="24"/>
              </w:rPr>
              <w:t>Shareholder Agreement</w:t>
            </w:r>
          </w:p>
        </w:tc>
        <w:tc>
          <w:tcPr>
            <w:tcW w:w="7200" w:type="dxa"/>
          </w:tcPr>
          <w:p w14:paraId="66F43C7A"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Upon conversion of the Notes, all h</w:t>
            </w:r>
            <w:r>
              <w:rPr>
                <w:rFonts w:asciiTheme="majorHAnsi" w:hAnsiTheme="majorHAnsi" w:cs="Times New Roman"/>
                <w:b w:val="0"/>
                <w:sz w:val="24"/>
                <w:szCs w:val="24"/>
              </w:rPr>
              <w:t>olders of the Notes would become subject to the then-applicable Shareholder Agreement of the Company, as approved by the Noteholders.</w:t>
            </w:r>
          </w:p>
        </w:tc>
      </w:tr>
      <w:tr w:rsidR="006456E6" w14:paraId="0CFD30F3" w14:textId="77777777">
        <w:tc>
          <w:tcPr>
            <w:tcW w:w="2268" w:type="dxa"/>
          </w:tcPr>
          <w:p w14:paraId="0182A9C8" w14:textId="77777777" w:rsidR="006456E6" w:rsidRDefault="004B1B2C">
            <w:pPr>
              <w:pStyle w:val="Heading3"/>
              <w:keepNext w:val="0"/>
              <w:widowControl w:val="0"/>
              <w:spacing w:after="120"/>
              <w:rPr>
                <w:rFonts w:asciiTheme="majorHAnsi" w:hAnsiTheme="majorHAnsi" w:cs="Times New Roman"/>
                <w:b w:val="0"/>
                <w:iCs/>
                <w:sz w:val="24"/>
                <w:szCs w:val="24"/>
              </w:rPr>
            </w:pPr>
            <w:r>
              <w:rPr>
                <w:rFonts w:asciiTheme="majorHAnsi" w:hAnsiTheme="majorHAnsi" w:cs="Times New Roman"/>
                <w:b w:val="0"/>
                <w:sz w:val="24"/>
                <w:szCs w:val="24"/>
              </w:rPr>
              <w:t>Expenses</w:t>
            </w:r>
          </w:p>
        </w:tc>
        <w:tc>
          <w:tcPr>
            <w:tcW w:w="7200" w:type="dxa"/>
          </w:tcPr>
          <w:p w14:paraId="0CB814A8" w14:textId="77777777" w:rsidR="006456E6" w:rsidRDefault="004B1B2C">
            <w:pPr>
              <w:pStyle w:val="Heading3"/>
              <w:keepNext w:val="0"/>
              <w:widowControl w:val="0"/>
              <w:spacing w:after="120"/>
              <w:jc w:val="both"/>
              <w:rPr>
                <w:rFonts w:asciiTheme="majorHAnsi" w:hAnsiTheme="majorHAnsi" w:cs="Times New Roman"/>
                <w:b w:val="0"/>
                <w:sz w:val="24"/>
                <w:szCs w:val="24"/>
              </w:rPr>
            </w:pPr>
            <w:r>
              <w:rPr>
                <w:rFonts w:asciiTheme="majorHAnsi" w:hAnsiTheme="majorHAnsi" w:cs="Times New Roman"/>
                <w:b w:val="0"/>
                <w:sz w:val="24"/>
                <w:szCs w:val="24"/>
              </w:rPr>
              <w:t xml:space="preserve">The Company will pay the Angel Network legal fees, regardless of whether the transaction closes. </w:t>
            </w:r>
          </w:p>
        </w:tc>
      </w:tr>
      <w:tr w:rsidR="006456E6" w14:paraId="4D7F020D" w14:textId="77777777">
        <w:tc>
          <w:tcPr>
            <w:tcW w:w="2268" w:type="dxa"/>
          </w:tcPr>
          <w:p w14:paraId="684B96EE" w14:textId="77777777" w:rsidR="006456E6" w:rsidRDefault="004B1B2C">
            <w:pPr>
              <w:pStyle w:val="Heading3"/>
              <w:keepNext w:val="0"/>
              <w:widowControl w:val="0"/>
              <w:spacing w:after="120"/>
              <w:rPr>
                <w:rFonts w:asciiTheme="majorHAnsi" w:hAnsiTheme="majorHAnsi" w:cs="Times New Roman"/>
                <w:b w:val="0"/>
                <w:sz w:val="24"/>
                <w:szCs w:val="24"/>
              </w:rPr>
            </w:pPr>
            <w:r>
              <w:rPr>
                <w:rFonts w:asciiTheme="majorHAnsi" w:hAnsiTheme="majorHAnsi" w:cs="Times New Roman"/>
                <w:b w:val="0"/>
                <w:sz w:val="24"/>
                <w:szCs w:val="24"/>
              </w:rPr>
              <w:t>Exclusivity</w:t>
            </w:r>
          </w:p>
        </w:tc>
        <w:tc>
          <w:tcPr>
            <w:tcW w:w="7200" w:type="dxa"/>
          </w:tcPr>
          <w:p w14:paraId="36EA16F2" w14:textId="77777777" w:rsidR="006456E6" w:rsidRDefault="004B1B2C">
            <w:pPr>
              <w:widowControl w:val="0"/>
              <w:spacing w:after="120"/>
              <w:jc w:val="both"/>
              <w:rPr>
                <w:rFonts w:asciiTheme="majorHAnsi" w:hAnsiTheme="majorHAnsi"/>
                <w:sz w:val="24"/>
                <w:szCs w:val="24"/>
              </w:rPr>
            </w:pPr>
            <w:r>
              <w:rPr>
                <w:rFonts w:asciiTheme="majorHAnsi" w:hAnsiTheme="majorHAnsi"/>
                <w:sz w:val="24"/>
                <w:szCs w:val="24"/>
              </w:rPr>
              <w:t>Until June 30, 2023, the Company agrees not to solicit offers from other parties for any financing.  Without the consent of Angel Network, the Co</w:t>
            </w:r>
            <w:r>
              <w:rPr>
                <w:rFonts w:asciiTheme="majorHAnsi" w:hAnsiTheme="majorHAnsi"/>
                <w:sz w:val="24"/>
                <w:szCs w:val="24"/>
              </w:rPr>
              <w:t>mpany will not disclose these terms to anyone other than officers, directors, key service providers, and other potential Investors in this financing.</w:t>
            </w:r>
          </w:p>
        </w:tc>
      </w:tr>
    </w:tbl>
    <w:p w14:paraId="1C7E9925" w14:textId="77777777" w:rsidR="006456E6" w:rsidRDefault="006456E6">
      <w:pPr>
        <w:pStyle w:val="Heading3"/>
        <w:keepNext w:val="0"/>
        <w:widowControl w:val="0"/>
        <w:spacing w:after="0"/>
        <w:rPr>
          <w:rFonts w:asciiTheme="majorHAnsi" w:hAnsiTheme="majorHAnsi" w:cs="Times New Roman"/>
          <w:b w:val="0"/>
          <w:sz w:val="24"/>
          <w:szCs w:val="24"/>
        </w:rPr>
      </w:pPr>
    </w:p>
    <w:p w14:paraId="3FC5F3E9" w14:textId="77777777" w:rsidR="006456E6" w:rsidRDefault="006456E6">
      <w:pPr>
        <w:pStyle w:val="Heading3"/>
        <w:keepNext w:val="0"/>
        <w:widowControl w:val="0"/>
        <w:spacing w:after="0"/>
        <w:jc w:val="center"/>
        <w:rPr>
          <w:rFonts w:asciiTheme="majorHAnsi" w:hAnsiTheme="majorHAnsi" w:cs="Times New Roman"/>
          <w:sz w:val="24"/>
          <w:szCs w:val="24"/>
          <w:u w:val="single"/>
        </w:rPr>
        <w:sectPr w:rsidR="006456E6">
          <w:footerReference w:type="default" r:id="rId8"/>
          <w:pgSz w:w="12240" w:h="15840" w:code="1"/>
          <w:pgMar w:top="1440" w:right="1440" w:bottom="1440" w:left="1440" w:header="720" w:footer="720" w:gutter="0"/>
          <w:cols w:space="720"/>
          <w:titlePg/>
          <w:docGrid w:linePitch="360"/>
        </w:sectPr>
      </w:pPr>
    </w:p>
    <w:p w14:paraId="282B18D3" w14:textId="77777777" w:rsidR="006456E6" w:rsidRDefault="004B1B2C">
      <w:pPr>
        <w:pStyle w:val="Heading3"/>
        <w:keepNext w:val="0"/>
        <w:widowControl w:val="0"/>
        <w:spacing w:after="0"/>
        <w:jc w:val="center"/>
        <w:rPr>
          <w:rFonts w:asciiTheme="majorHAnsi" w:hAnsiTheme="majorHAnsi" w:cs="Times New Roman"/>
          <w:b w:val="0"/>
          <w:bCs/>
          <w:sz w:val="24"/>
          <w:szCs w:val="24"/>
        </w:rPr>
      </w:pPr>
      <w:r>
        <w:rPr>
          <w:rFonts w:asciiTheme="majorHAnsi" w:hAnsiTheme="majorHAnsi" w:cs="Times New Roman"/>
          <w:b w:val="0"/>
          <w:bCs/>
          <w:sz w:val="24"/>
          <w:szCs w:val="24"/>
        </w:rPr>
        <w:lastRenderedPageBreak/>
        <w:t>EXHIBIT A</w:t>
      </w:r>
    </w:p>
    <w:p w14:paraId="18640EB4" w14:textId="77777777" w:rsidR="006456E6" w:rsidRDefault="004B1B2C">
      <w:pPr>
        <w:jc w:val="center"/>
        <w:rPr>
          <w:rFonts w:asciiTheme="majorHAnsi" w:hAnsiTheme="majorHAnsi" w:cs="Times New Roman"/>
          <w:bCs/>
          <w:sz w:val="24"/>
          <w:szCs w:val="24"/>
        </w:rPr>
      </w:pPr>
      <w:r>
        <w:rPr>
          <w:rFonts w:asciiTheme="majorHAnsi" w:hAnsiTheme="majorHAnsi" w:cs="Times New Roman"/>
          <w:bCs/>
          <w:sz w:val="24"/>
          <w:szCs w:val="24"/>
        </w:rPr>
        <w:t>CURRENT TABLE OF CAPITALIZATION</w:t>
      </w:r>
    </w:p>
    <w:p w14:paraId="5194BDC5" w14:textId="77777777" w:rsidR="006456E6" w:rsidRDefault="006456E6">
      <w:pPr>
        <w:jc w:val="center"/>
        <w:rPr>
          <w:rFonts w:asciiTheme="majorHAnsi" w:hAnsiTheme="majorHAnsi" w:cs="Times New Roman"/>
          <w:bCs/>
          <w:sz w:val="24"/>
          <w:szCs w:val="24"/>
        </w:rPr>
      </w:pPr>
    </w:p>
    <w:tbl>
      <w:tblPr>
        <w:tblW w:w="7845" w:type="dxa"/>
        <w:jc w:val="center"/>
        <w:tblLayout w:type="fixed"/>
        <w:tblLook w:val="04A0" w:firstRow="1" w:lastRow="0" w:firstColumn="1" w:lastColumn="0" w:noHBand="0" w:noVBand="1"/>
      </w:tblPr>
      <w:tblGrid>
        <w:gridCol w:w="2715"/>
        <w:gridCol w:w="1620"/>
        <w:gridCol w:w="1080"/>
        <w:gridCol w:w="1080"/>
        <w:gridCol w:w="1350"/>
      </w:tblGrid>
      <w:tr w:rsidR="006456E6" w14:paraId="75816592" w14:textId="77777777">
        <w:trPr>
          <w:trHeight w:val="305"/>
          <w:jc w:val="center"/>
        </w:trPr>
        <w:tc>
          <w:tcPr>
            <w:tcW w:w="271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41191D" w14:textId="77777777" w:rsidR="006456E6" w:rsidRDefault="004B1B2C">
            <w:pPr>
              <w:autoSpaceDE/>
              <w:autoSpaceDN/>
              <w:adjustRightInd/>
              <w:rPr>
                <w:rFonts w:asciiTheme="majorHAnsi" w:hAnsiTheme="majorHAnsi" w:cs="Times New Roman"/>
                <w:b/>
                <w:bCs/>
                <w:sz w:val="24"/>
                <w:szCs w:val="24"/>
              </w:rPr>
            </w:pPr>
            <w:r>
              <w:rPr>
                <w:rFonts w:asciiTheme="majorHAnsi" w:hAnsiTheme="majorHAnsi" w:cs="Times New Roman"/>
                <w:b/>
                <w:bCs/>
                <w:sz w:val="24"/>
                <w:szCs w:val="24"/>
              </w:rPr>
              <w:t>Name</w:t>
            </w:r>
          </w:p>
        </w:tc>
        <w:tc>
          <w:tcPr>
            <w:tcW w:w="1620" w:type="dxa"/>
            <w:tcBorders>
              <w:top w:val="single" w:sz="4" w:space="0" w:color="auto"/>
              <w:left w:val="nil"/>
              <w:bottom w:val="single" w:sz="4" w:space="0" w:color="auto"/>
              <w:right w:val="single" w:sz="4" w:space="0" w:color="auto"/>
            </w:tcBorders>
            <w:shd w:val="clear" w:color="000000" w:fill="BFBFBF"/>
            <w:noWrap/>
            <w:vAlign w:val="bottom"/>
            <w:hideMark/>
          </w:tcPr>
          <w:p w14:paraId="266D529E" w14:textId="77777777" w:rsidR="006456E6" w:rsidRDefault="004B1B2C">
            <w:pPr>
              <w:autoSpaceDE/>
              <w:autoSpaceDN/>
              <w:adjustRightInd/>
              <w:rPr>
                <w:rFonts w:asciiTheme="majorHAnsi" w:hAnsiTheme="majorHAnsi" w:cs="Times New Roman"/>
                <w:b/>
                <w:bCs/>
                <w:sz w:val="24"/>
                <w:szCs w:val="24"/>
              </w:rPr>
            </w:pPr>
            <w:r>
              <w:rPr>
                <w:rFonts w:asciiTheme="majorHAnsi" w:hAnsiTheme="majorHAnsi" w:cs="Times New Roman"/>
                <w:b/>
                <w:bCs/>
                <w:sz w:val="24"/>
                <w:szCs w:val="24"/>
              </w:rPr>
              <w:t xml:space="preserve">Common </w:t>
            </w:r>
            <w:r>
              <w:rPr>
                <w:rFonts w:asciiTheme="majorHAnsi" w:hAnsiTheme="majorHAnsi" w:cs="Times New Roman"/>
                <w:b/>
                <w:bCs/>
                <w:sz w:val="24"/>
                <w:szCs w:val="24"/>
              </w:rPr>
              <w:t>Units</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4B072C26" w14:textId="77777777" w:rsidR="006456E6" w:rsidRDefault="004B1B2C">
            <w:pPr>
              <w:autoSpaceDE/>
              <w:autoSpaceDN/>
              <w:adjustRightInd/>
              <w:rPr>
                <w:rFonts w:asciiTheme="majorHAnsi" w:hAnsiTheme="majorHAnsi" w:cs="Times New Roman"/>
                <w:b/>
                <w:bCs/>
                <w:sz w:val="24"/>
                <w:szCs w:val="24"/>
              </w:rPr>
            </w:pPr>
            <w:r>
              <w:rPr>
                <w:rFonts w:asciiTheme="majorHAnsi" w:hAnsiTheme="majorHAnsi" w:cs="Times New Roman"/>
                <w:b/>
                <w:bCs/>
                <w:sz w:val="24"/>
                <w:szCs w:val="24"/>
              </w:rPr>
              <w:t>Options</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14:paraId="6D3582D9" w14:textId="77777777" w:rsidR="006456E6" w:rsidRDefault="004B1B2C">
            <w:pPr>
              <w:autoSpaceDE/>
              <w:autoSpaceDN/>
              <w:adjustRightInd/>
              <w:rPr>
                <w:rFonts w:asciiTheme="majorHAnsi" w:hAnsiTheme="majorHAnsi" w:cs="Times New Roman"/>
                <w:b/>
                <w:bCs/>
                <w:sz w:val="24"/>
                <w:szCs w:val="24"/>
              </w:rPr>
            </w:pPr>
            <w:r>
              <w:rPr>
                <w:rFonts w:asciiTheme="majorHAnsi" w:hAnsiTheme="majorHAnsi" w:cs="Times New Roman"/>
                <w:b/>
                <w:bCs/>
                <w:sz w:val="24"/>
                <w:szCs w:val="24"/>
              </w:rPr>
              <w:t xml:space="preserve">Total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14:paraId="38E99EE4" w14:textId="77777777" w:rsidR="006456E6" w:rsidRDefault="004B1B2C">
            <w:pPr>
              <w:autoSpaceDE/>
              <w:autoSpaceDN/>
              <w:adjustRightInd/>
              <w:rPr>
                <w:rFonts w:asciiTheme="majorHAnsi" w:hAnsiTheme="majorHAnsi" w:cs="Times New Roman"/>
                <w:b/>
                <w:bCs/>
                <w:sz w:val="24"/>
                <w:szCs w:val="24"/>
              </w:rPr>
            </w:pPr>
            <w:r>
              <w:rPr>
                <w:rFonts w:asciiTheme="majorHAnsi" w:hAnsiTheme="majorHAnsi" w:cs="Times New Roman"/>
                <w:b/>
                <w:bCs/>
                <w:sz w:val="24"/>
                <w:szCs w:val="24"/>
              </w:rPr>
              <w:t>Percentage</w:t>
            </w:r>
          </w:p>
        </w:tc>
      </w:tr>
      <w:tr w:rsidR="006456E6" w14:paraId="0B867231" w14:textId="77777777">
        <w:trPr>
          <w:trHeight w:val="28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27C97" w14:textId="77777777" w:rsidR="006456E6" w:rsidRDefault="004B1B2C">
            <w:pPr>
              <w:autoSpaceDE/>
              <w:autoSpaceDN/>
              <w:adjustRightInd/>
              <w:spacing w:after="240"/>
              <w:outlineLvl w:val="7"/>
              <w:rPr>
                <w:rFonts w:asciiTheme="majorHAnsi" w:hAnsiTheme="majorHAnsi" w:cs="Times New Roman"/>
                <w:sz w:val="24"/>
                <w:szCs w:val="24"/>
              </w:rPr>
            </w:pPr>
            <w:r>
              <w:rPr>
                <w:rFonts w:asciiTheme="majorHAnsi" w:hAnsiTheme="majorHAnsi" w:cs="Times New Roman"/>
                <w:sz w:val="24"/>
                <w:szCs w:val="24"/>
              </w:rPr>
              <w:t>Tim Striker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6126BB8" w14:textId="77777777" w:rsidR="006456E6" w:rsidRDefault="004B1B2C">
            <w:pPr>
              <w:autoSpaceDE/>
              <w:autoSpaceDN/>
              <w:adjustRightInd/>
              <w:spacing w:after="240"/>
              <w:jc w:val="right"/>
              <w:outlineLvl w:val="7"/>
              <w:rPr>
                <w:rFonts w:asciiTheme="majorHAnsi" w:hAnsiTheme="majorHAnsi" w:cs="Times New Roman"/>
                <w:sz w:val="24"/>
                <w:szCs w:val="24"/>
              </w:rPr>
            </w:pPr>
            <w:bookmarkStart w:id="0" w:name="RANGE!B4"/>
            <w:r>
              <w:rPr>
                <w:rFonts w:asciiTheme="majorHAnsi" w:hAnsiTheme="majorHAnsi" w:cs="Times New Roman"/>
                <w:sz w:val="24"/>
                <w:szCs w:val="24"/>
              </w:rPr>
              <w:t>75,000</w:t>
            </w:r>
            <w:bookmarkEnd w:id="0"/>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BBB5AE5"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D9ADE60"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75,000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520B3F"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75.00%</w:t>
            </w:r>
          </w:p>
        </w:tc>
      </w:tr>
      <w:tr w:rsidR="006456E6" w14:paraId="0D3EAED2" w14:textId="77777777">
        <w:trPr>
          <w:trHeight w:val="28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7068" w14:textId="77777777" w:rsidR="006456E6" w:rsidRDefault="004B1B2C">
            <w:pPr>
              <w:autoSpaceDE/>
              <w:autoSpaceDN/>
              <w:adjustRightInd/>
              <w:spacing w:after="240"/>
              <w:outlineLvl w:val="7"/>
              <w:rPr>
                <w:rFonts w:asciiTheme="majorHAnsi" w:hAnsiTheme="majorHAnsi" w:cs="Times New Roman"/>
                <w:sz w:val="24"/>
                <w:szCs w:val="24"/>
              </w:rPr>
            </w:pPr>
            <w:r>
              <w:rPr>
                <w:rFonts w:asciiTheme="majorHAnsi" w:hAnsiTheme="majorHAnsi" w:cs="Times New Roman"/>
                <w:sz w:val="24"/>
                <w:szCs w:val="24"/>
              </w:rPr>
              <w:t>Ralph Reiter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7001EDF"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25,000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AD29B9"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026A0CF"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25,000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4F3EFAE" w14:textId="77777777" w:rsidR="006456E6" w:rsidRDefault="004B1B2C">
            <w:pPr>
              <w:autoSpaceDE/>
              <w:autoSpaceDN/>
              <w:adjustRightInd/>
              <w:spacing w:after="240"/>
              <w:jc w:val="right"/>
              <w:outlineLvl w:val="7"/>
              <w:rPr>
                <w:rFonts w:asciiTheme="majorHAnsi" w:hAnsiTheme="majorHAnsi" w:cs="Times New Roman"/>
                <w:sz w:val="24"/>
                <w:szCs w:val="24"/>
              </w:rPr>
            </w:pPr>
            <w:r>
              <w:rPr>
                <w:rFonts w:asciiTheme="majorHAnsi" w:hAnsiTheme="majorHAnsi" w:cs="Times New Roman"/>
                <w:sz w:val="24"/>
                <w:szCs w:val="24"/>
              </w:rPr>
              <w:t>25.00%</w:t>
            </w:r>
          </w:p>
        </w:tc>
      </w:tr>
      <w:tr w:rsidR="006456E6" w14:paraId="011AB5FE" w14:textId="77777777">
        <w:trPr>
          <w:trHeight w:val="280"/>
          <w:jc w:val="center"/>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6224" w14:textId="77777777" w:rsidR="006456E6" w:rsidRDefault="004B1B2C">
            <w:pPr>
              <w:autoSpaceDE/>
              <w:autoSpaceDN/>
              <w:adjustRightInd/>
              <w:spacing w:after="240"/>
              <w:outlineLvl w:val="7"/>
              <w:rPr>
                <w:rFonts w:asciiTheme="majorHAnsi" w:hAnsiTheme="majorHAnsi" w:cs="Times New Roman"/>
                <w:b/>
                <w:bCs/>
                <w:sz w:val="24"/>
                <w:szCs w:val="24"/>
              </w:rPr>
            </w:pPr>
            <w:r>
              <w:rPr>
                <w:rFonts w:asciiTheme="majorHAnsi" w:hAnsiTheme="majorHAnsi" w:cs="Times New Roman"/>
                <w:b/>
                <w:bCs/>
                <w:sz w:val="24"/>
                <w:szCs w:val="24"/>
              </w:rPr>
              <w:t>Total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752CD3B" w14:textId="77777777" w:rsidR="006456E6" w:rsidRDefault="004B1B2C">
            <w:pPr>
              <w:autoSpaceDE/>
              <w:autoSpaceDN/>
              <w:adjustRightInd/>
              <w:spacing w:after="240"/>
              <w:jc w:val="right"/>
              <w:outlineLvl w:val="7"/>
              <w:rPr>
                <w:rFonts w:asciiTheme="majorHAnsi" w:hAnsiTheme="majorHAnsi" w:cs="Times New Roman"/>
                <w:b/>
                <w:bCs/>
                <w:sz w:val="24"/>
                <w:szCs w:val="24"/>
              </w:rPr>
            </w:pPr>
            <w:r>
              <w:rPr>
                <w:rFonts w:asciiTheme="majorHAnsi" w:hAnsiTheme="majorHAnsi" w:cs="Times New Roman"/>
                <w:b/>
                <w:bCs/>
                <w:sz w:val="24"/>
                <w:szCs w:val="24"/>
              </w:rPr>
              <w:t xml:space="preserve">100,000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E981539" w14:textId="77777777" w:rsidR="006456E6" w:rsidRDefault="004B1B2C">
            <w:pPr>
              <w:autoSpaceDE/>
              <w:autoSpaceDN/>
              <w:adjustRightInd/>
              <w:spacing w:after="240"/>
              <w:jc w:val="right"/>
              <w:outlineLvl w:val="7"/>
              <w:rPr>
                <w:rFonts w:asciiTheme="majorHAnsi" w:hAnsiTheme="majorHAnsi" w:cs="Times New Roman"/>
                <w:b/>
                <w:bCs/>
                <w:sz w:val="24"/>
                <w:szCs w:val="24"/>
              </w:rPr>
            </w:pPr>
            <w:r>
              <w:rPr>
                <w:rFonts w:asciiTheme="majorHAnsi" w:hAnsiTheme="majorHAnsi" w:cs="Times New Roman"/>
                <w:b/>
                <w:bCs/>
                <w:sz w:val="24"/>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72D570" w14:textId="77777777" w:rsidR="006456E6" w:rsidRDefault="004B1B2C">
            <w:pPr>
              <w:autoSpaceDE/>
              <w:autoSpaceDN/>
              <w:adjustRightInd/>
              <w:spacing w:after="240"/>
              <w:jc w:val="right"/>
              <w:outlineLvl w:val="7"/>
              <w:rPr>
                <w:rFonts w:asciiTheme="majorHAnsi" w:hAnsiTheme="majorHAnsi" w:cs="Times New Roman"/>
                <w:b/>
                <w:bCs/>
                <w:sz w:val="24"/>
                <w:szCs w:val="24"/>
              </w:rPr>
            </w:pPr>
            <w:r>
              <w:rPr>
                <w:rFonts w:asciiTheme="majorHAnsi" w:hAnsiTheme="majorHAnsi" w:cs="Times New Roman"/>
                <w:b/>
                <w:bCs/>
                <w:sz w:val="24"/>
                <w:szCs w:val="24"/>
              </w:rPr>
              <w:t>100,000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F73308E" w14:textId="77777777" w:rsidR="006456E6" w:rsidRDefault="004B1B2C">
            <w:pPr>
              <w:autoSpaceDE/>
              <w:autoSpaceDN/>
              <w:adjustRightInd/>
              <w:spacing w:after="240"/>
              <w:jc w:val="right"/>
              <w:outlineLvl w:val="7"/>
              <w:rPr>
                <w:rFonts w:asciiTheme="majorHAnsi" w:hAnsiTheme="majorHAnsi" w:cs="Times New Roman"/>
                <w:b/>
                <w:bCs/>
                <w:sz w:val="24"/>
                <w:szCs w:val="24"/>
              </w:rPr>
            </w:pPr>
            <w:r>
              <w:rPr>
                <w:rFonts w:asciiTheme="majorHAnsi" w:hAnsiTheme="majorHAnsi" w:cs="Times New Roman"/>
                <w:b/>
                <w:bCs/>
                <w:sz w:val="24"/>
                <w:szCs w:val="24"/>
              </w:rPr>
              <w:t>100.00%</w:t>
            </w:r>
          </w:p>
        </w:tc>
      </w:tr>
      <w:tr w:rsidR="006456E6" w14:paraId="289DEEF9" w14:textId="77777777">
        <w:trPr>
          <w:trHeight w:val="280"/>
          <w:jc w:val="center"/>
        </w:trPr>
        <w:tc>
          <w:tcPr>
            <w:tcW w:w="7845" w:type="dxa"/>
            <w:gridSpan w:val="5"/>
            <w:tcBorders>
              <w:top w:val="nil"/>
              <w:left w:val="nil"/>
              <w:bottom w:val="nil"/>
              <w:right w:val="nil"/>
            </w:tcBorders>
            <w:shd w:val="clear" w:color="auto" w:fill="auto"/>
            <w:noWrap/>
            <w:vAlign w:val="bottom"/>
            <w:hideMark/>
          </w:tcPr>
          <w:p w14:paraId="78C4953B" w14:textId="77777777" w:rsidR="006456E6" w:rsidRDefault="006456E6">
            <w:pPr>
              <w:autoSpaceDE/>
              <w:autoSpaceDN/>
              <w:adjustRightInd/>
              <w:spacing w:after="240"/>
              <w:rPr>
                <w:rFonts w:asciiTheme="majorHAnsi" w:hAnsiTheme="majorHAnsi" w:cs="Times New Roman"/>
                <w:sz w:val="24"/>
                <w:szCs w:val="24"/>
              </w:rPr>
            </w:pPr>
          </w:p>
        </w:tc>
      </w:tr>
      <w:tr w:rsidR="006456E6" w14:paraId="7B496C0A" w14:textId="77777777">
        <w:trPr>
          <w:trHeight w:val="280"/>
          <w:jc w:val="center"/>
        </w:trPr>
        <w:tc>
          <w:tcPr>
            <w:tcW w:w="7845" w:type="dxa"/>
            <w:gridSpan w:val="5"/>
            <w:tcBorders>
              <w:top w:val="nil"/>
              <w:left w:val="nil"/>
              <w:bottom w:val="nil"/>
              <w:right w:val="nil"/>
            </w:tcBorders>
            <w:shd w:val="clear" w:color="auto" w:fill="auto"/>
            <w:noWrap/>
            <w:vAlign w:val="bottom"/>
          </w:tcPr>
          <w:p w14:paraId="4DE5931C" w14:textId="77777777" w:rsidR="006456E6" w:rsidRDefault="006456E6">
            <w:pPr>
              <w:autoSpaceDE/>
              <w:autoSpaceDN/>
              <w:adjustRightInd/>
              <w:rPr>
                <w:rFonts w:asciiTheme="majorHAnsi" w:hAnsiTheme="majorHAnsi" w:cs="Times New Roman"/>
                <w:sz w:val="24"/>
                <w:szCs w:val="24"/>
              </w:rPr>
            </w:pPr>
          </w:p>
        </w:tc>
      </w:tr>
      <w:tr w:rsidR="006456E6" w14:paraId="5D398FAC" w14:textId="77777777">
        <w:trPr>
          <w:trHeight w:val="280"/>
          <w:jc w:val="center"/>
        </w:trPr>
        <w:tc>
          <w:tcPr>
            <w:tcW w:w="6495" w:type="dxa"/>
            <w:gridSpan w:val="4"/>
            <w:tcBorders>
              <w:top w:val="nil"/>
              <w:left w:val="nil"/>
              <w:bottom w:val="nil"/>
              <w:right w:val="nil"/>
            </w:tcBorders>
            <w:shd w:val="clear" w:color="auto" w:fill="auto"/>
            <w:noWrap/>
            <w:vAlign w:val="bottom"/>
          </w:tcPr>
          <w:p w14:paraId="4AC2B7CA" w14:textId="77777777" w:rsidR="006456E6" w:rsidRDefault="006456E6">
            <w:pPr>
              <w:autoSpaceDE/>
              <w:autoSpaceDN/>
              <w:adjustRightInd/>
              <w:spacing w:after="240"/>
              <w:outlineLvl w:val="7"/>
              <w:rPr>
                <w:rFonts w:asciiTheme="majorHAnsi" w:hAnsiTheme="majorHAnsi" w:cs="Times New Roman"/>
                <w:sz w:val="24"/>
                <w:szCs w:val="24"/>
              </w:rPr>
            </w:pPr>
          </w:p>
        </w:tc>
        <w:tc>
          <w:tcPr>
            <w:tcW w:w="1350" w:type="dxa"/>
            <w:tcBorders>
              <w:top w:val="nil"/>
              <w:left w:val="nil"/>
              <w:bottom w:val="nil"/>
              <w:right w:val="nil"/>
            </w:tcBorders>
            <w:shd w:val="clear" w:color="auto" w:fill="auto"/>
            <w:noWrap/>
            <w:vAlign w:val="bottom"/>
          </w:tcPr>
          <w:p w14:paraId="2B119979" w14:textId="77777777" w:rsidR="006456E6" w:rsidRDefault="006456E6">
            <w:pPr>
              <w:autoSpaceDE/>
              <w:autoSpaceDN/>
              <w:adjustRightInd/>
              <w:spacing w:after="240"/>
              <w:rPr>
                <w:rFonts w:asciiTheme="majorHAnsi" w:hAnsiTheme="majorHAnsi" w:cs="Times New Roman"/>
                <w:sz w:val="24"/>
                <w:szCs w:val="24"/>
              </w:rPr>
            </w:pPr>
          </w:p>
        </w:tc>
      </w:tr>
    </w:tbl>
    <w:p w14:paraId="044995BA" w14:textId="77777777" w:rsidR="006456E6" w:rsidRDefault="006456E6">
      <w:pPr>
        <w:jc w:val="center"/>
        <w:rPr>
          <w:rFonts w:asciiTheme="majorHAnsi" w:hAnsiTheme="majorHAnsi"/>
          <w:sz w:val="24"/>
          <w:szCs w:val="24"/>
        </w:rPr>
      </w:pPr>
    </w:p>
    <w:sectPr w:rsidR="006456E6">
      <w:headerReference w:type="first" r:id="rId9"/>
      <w:footerReference w:type="first" r:id="rId10"/>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A9DA" w14:textId="77777777" w:rsidR="006456E6" w:rsidRDefault="004B1B2C">
      <w:r>
        <w:separator/>
      </w:r>
    </w:p>
  </w:endnote>
  <w:endnote w:type="continuationSeparator" w:id="0">
    <w:p w14:paraId="3EE57DC1" w14:textId="77777777" w:rsidR="006456E6" w:rsidRDefault="004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1B6B" w14:textId="77777777" w:rsidR="006456E6" w:rsidRDefault="004B1B2C">
    <w:pPr>
      <w:pStyle w:val="Footer"/>
      <w:rPr>
        <w:rFonts w:ascii="Times New Roman" w:hAnsi="Times New Roman" w:cs="Times New Roman"/>
        <w:sz w:val="20"/>
      </w:rPr>
    </w:pPr>
    <w:r>
      <w:tab/>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noProof/>
        <w:sz w:val="20"/>
      </w:rPr>
      <w:t>3</w:t>
    </w:r>
    <w:r>
      <w:rPr>
        <w:rFonts w:ascii="Times New Roman" w:hAnsi="Times New Roman" w:cs="Times New Roman"/>
        <w:sz w:val="20"/>
      </w:rPr>
      <w:fldChar w:fldCharType="end"/>
    </w:r>
    <w:r>
      <w:rPr>
        <w:rFonts w:ascii="Times New Roman" w:hAnsi="Times New Roman" w:cs="Times New Roman"/>
        <w:sz w:val="20"/>
      </w:rPr>
      <w:t>-</w:t>
    </w:r>
  </w:p>
  <w:p w14:paraId="2A5BA114" w14:textId="77777777" w:rsidR="006456E6" w:rsidRDefault="006456E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DA5D" w14:textId="77777777" w:rsidR="006456E6" w:rsidRDefault="0064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A4B0" w14:textId="77777777" w:rsidR="006456E6" w:rsidRDefault="004B1B2C">
      <w:r>
        <w:separator/>
      </w:r>
    </w:p>
  </w:footnote>
  <w:footnote w:type="continuationSeparator" w:id="0">
    <w:p w14:paraId="21A8FAB6" w14:textId="77777777" w:rsidR="006456E6" w:rsidRDefault="004B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F0B" w14:textId="77777777" w:rsidR="006456E6" w:rsidRDefault="0064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C64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B7C08"/>
    <w:multiLevelType w:val="hybridMultilevel"/>
    <w:tmpl w:val="009A6CAA"/>
    <w:lvl w:ilvl="0" w:tplc="8AB0F660">
      <w:start w:val="1"/>
      <w:numFmt w:val="lowerRoman"/>
      <w:lvlText w:val="(%1)"/>
      <w:lvlJc w:val="left"/>
      <w:pPr>
        <w:ind w:left="480" w:hanging="480"/>
      </w:pPr>
      <w:rPr>
        <w:rFonts w:hint="eastAsia"/>
      </w:rPr>
    </w:lvl>
    <w:lvl w:ilvl="1" w:tplc="4E46344A" w:tentative="1">
      <w:start w:val="1"/>
      <w:numFmt w:val="ideographTraditional"/>
      <w:lvlText w:val="%2、"/>
      <w:lvlJc w:val="left"/>
      <w:pPr>
        <w:ind w:left="960" w:hanging="480"/>
      </w:pPr>
    </w:lvl>
    <w:lvl w:ilvl="2" w:tplc="87A4FE2E" w:tentative="1">
      <w:start w:val="1"/>
      <w:numFmt w:val="lowerRoman"/>
      <w:lvlText w:val="%3."/>
      <w:lvlJc w:val="right"/>
      <w:pPr>
        <w:ind w:left="1440" w:hanging="480"/>
      </w:pPr>
    </w:lvl>
    <w:lvl w:ilvl="3" w:tplc="EBFCA4F8" w:tentative="1">
      <w:start w:val="1"/>
      <w:numFmt w:val="decimal"/>
      <w:lvlText w:val="%4."/>
      <w:lvlJc w:val="left"/>
      <w:pPr>
        <w:ind w:left="1920" w:hanging="480"/>
      </w:pPr>
    </w:lvl>
    <w:lvl w:ilvl="4" w:tplc="7214EE9C" w:tentative="1">
      <w:start w:val="1"/>
      <w:numFmt w:val="ideographTraditional"/>
      <w:lvlText w:val="%5、"/>
      <w:lvlJc w:val="left"/>
      <w:pPr>
        <w:ind w:left="2400" w:hanging="480"/>
      </w:pPr>
    </w:lvl>
    <w:lvl w:ilvl="5" w:tplc="9C0C0DEC" w:tentative="1">
      <w:start w:val="1"/>
      <w:numFmt w:val="lowerRoman"/>
      <w:lvlText w:val="%6."/>
      <w:lvlJc w:val="right"/>
      <w:pPr>
        <w:ind w:left="2880" w:hanging="480"/>
      </w:pPr>
    </w:lvl>
    <w:lvl w:ilvl="6" w:tplc="5B3A2462" w:tentative="1">
      <w:start w:val="1"/>
      <w:numFmt w:val="decimal"/>
      <w:lvlText w:val="%7."/>
      <w:lvlJc w:val="left"/>
      <w:pPr>
        <w:ind w:left="3360" w:hanging="480"/>
      </w:pPr>
    </w:lvl>
    <w:lvl w:ilvl="7" w:tplc="065C3292" w:tentative="1">
      <w:start w:val="1"/>
      <w:numFmt w:val="ideographTraditional"/>
      <w:lvlText w:val="%8、"/>
      <w:lvlJc w:val="left"/>
      <w:pPr>
        <w:ind w:left="3840" w:hanging="480"/>
      </w:pPr>
    </w:lvl>
    <w:lvl w:ilvl="8" w:tplc="8EC45B26" w:tentative="1">
      <w:start w:val="1"/>
      <w:numFmt w:val="lowerRoman"/>
      <w:lvlText w:val="%9."/>
      <w:lvlJc w:val="right"/>
      <w:pPr>
        <w:ind w:left="4320" w:hanging="480"/>
      </w:pPr>
    </w:lvl>
  </w:abstractNum>
  <w:abstractNum w:abstractNumId="2" w15:restartNumberingAfterBreak="0">
    <w:nsid w:val="386241A5"/>
    <w:multiLevelType w:val="hybridMultilevel"/>
    <w:tmpl w:val="729C5F12"/>
    <w:lvl w:ilvl="0" w:tplc="B3BCCFB2">
      <w:start w:val="1"/>
      <w:numFmt w:val="bullet"/>
      <w:pStyle w:val="BulletedList"/>
      <w:lvlText w:val=""/>
      <w:lvlJc w:val="left"/>
      <w:pPr>
        <w:tabs>
          <w:tab w:val="num" w:pos="1440"/>
        </w:tabs>
        <w:ind w:left="1440" w:hanging="720"/>
      </w:pPr>
      <w:rPr>
        <w:rFonts w:ascii="Symbol" w:hAnsi="Symbol" w:hint="default"/>
      </w:rPr>
    </w:lvl>
    <w:lvl w:ilvl="1" w:tplc="5504E10E" w:tentative="1">
      <w:start w:val="1"/>
      <w:numFmt w:val="bullet"/>
      <w:lvlText w:val="o"/>
      <w:lvlJc w:val="left"/>
      <w:pPr>
        <w:tabs>
          <w:tab w:val="num" w:pos="1440"/>
        </w:tabs>
        <w:ind w:left="1440" w:hanging="360"/>
      </w:pPr>
      <w:rPr>
        <w:rFonts w:ascii="Courier New" w:hAnsi="Courier New" w:cs="Courier New" w:hint="default"/>
      </w:rPr>
    </w:lvl>
    <w:lvl w:ilvl="2" w:tplc="87FA15D6" w:tentative="1">
      <w:start w:val="1"/>
      <w:numFmt w:val="bullet"/>
      <w:lvlText w:val=""/>
      <w:lvlJc w:val="left"/>
      <w:pPr>
        <w:tabs>
          <w:tab w:val="num" w:pos="2160"/>
        </w:tabs>
        <w:ind w:left="2160" w:hanging="360"/>
      </w:pPr>
      <w:rPr>
        <w:rFonts w:ascii="Wingdings" w:hAnsi="Wingdings" w:hint="default"/>
      </w:rPr>
    </w:lvl>
    <w:lvl w:ilvl="3" w:tplc="173CAC02" w:tentative="1">
      <w:start w:val="1"/>
      <w:numFmt w:val="bullet"/>
      <w:lvlText w:val=""/>
      <w:lvlJc w:val="left"/>
      <w:pPr>
        <w:tabs>
          <w:tab w:val="num" w:pos="2880"/>
        </w:tabs>
        <w:ind w:left="2880" w:hanging="360"/>
      </w:pPr>
      <w:rPr>
        <w:rFonts w:ascii="Symbol" w:hAnsi="Symbol" w:hint="default"/>
      </w:rPr>
    </w:lvl>
    <w:lvl w:ilvl="4" w:tplc="7B52558A" w:tentative="1">
      <w:start w:val="1"/>
      <w:numFmt w:val="bullet"/>
      <w:lvlText w:val="o"/>
      <w:lvlJc w:val="left"/>
      <w:pPr>
        <w:tabs>
          <w:tab w:val="num" w:pos="3600"/>
        </w:tabs>
        <w:ind w:left="3600" w:hanging="360"/>
      </w:pPr>
      <w:rPr>
        <w:rFonts w:ascii="Courier New" w:hAnsi="Courier New" w:cs="Courier New" w:hint="default"/>
      </w:rPr>
    </w:lvl>
    <w:lvl w:ilvl="5" w:tplc="E29E469C" w:tentative="1">
      <w:start w:val="1"/>
      <w:numFmt w:val="bullet"/>
      <w:lvlText w:val=""/>
      <w:lvlJc w:val="left"/>
      <w:pPr>
        <w:tabs>
          <w:tab w:val="num" w:pos="4320"/>
        </w:tabs>
        <w:ind w:left="4320" w:hanging="360"/>
      </w:pPr>
      <w:rPr>
        <w:rFonts w:ascii="Wingdings" w:hAnsi="Wingdings" w:hint="default"/>
      </w:rPr>
    </w:lvl>
    <w:lvl w:ilvl="6" w:tplc="34B45A20" w:tentative="1">
      <w:start w:val="1"/>
      <w:numFmt w:val="bullet"/>
      <w:lvlText w:val=""/>
      <w:lvlJc w:val="left"/>
      <w:pPr>
        <w:tabs>
          <w:tab w:val="num" w:pos="5040"/>
        </w:tabs>
        <w:ind w:left="5040" w:hanging="360"/>
      </w:pPr>
      <w:rPr>
        <w:rFonts w:ascii="Symbol" w:hAnsi="Symbol" w:hint="default"/>
      </w:rPr>
    </w:lvl>
    <w:lvl w:ilvl="7" w:tplc="F0860C46" w:tentative="1">
      <w:start w:val="1"/>
      <w:numFmt w:val="bullet"/>
      <w:lvlText w:val="o"/>
      <w:lvlJc w:val="left"/>
      <w:pPr>
        <w:tabs>
          <w:tab w:val="num" w:pos="5760"/>
        </w:tabs>
        <w:ind w:left="5760" w:hanging="360"/>
      </w:pPr>
      <w:rPr>
        <w:rFonts w:ascii="Courier New" w:hAnsi="Courier New" w:cs="Courier New" w:hint="default"/>
      </w:rPr>
    </w:lvl>
    <w:lvl w:ilvl="8" w:tplc="1A9C1E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D6D8D"/>
    <w:multiLevelType w:val="hybridMultilevel"/>
    <w:tmpl w:val="B960426A"/>
    <w:lvl w:ilvl="0" w:tplc="46547044">
      <w:start w:val="1"/>
      <w:numFmt w:val="lowerRoman"/>
      <w:lvlText w:val="(%1)"/>
      <w:lvlJc w:val="left"/>
      <w:pPr>
        <w:ind w:left="1080" w:hanging="720"/>
      </w:pPr>
      <w:rPr>
        <w:rFonts w:hint="default"/>
      </w:rPr>
    </w:lvl>
    <w:lvl w:ilvl="1" w:tplc="54942FDA" w:tentative="1">
      <w:start w:val="1"/>
      <w:numFmt w:val="lowerLetter"/>
      <w:lvlText w:val="%2."/>
      <w:lvlJc w:val="left"/>
      <w:pPr>
        <w:ind w:left="1440" w:hanging="360"/>
      </w:pPr>
    </w:lvl>
    <w:lvl w:ilvl="2" w:tplc="318E8736" w:tentative="1">
      <w:start w:val="1"/>
      <w:numFmt w:val="lowerRoman"/>
      <w:lvlText w:val="%3."/>
      <w:lvlJc w:val="right"/>
      <w:pPr>
        <w:ind w:left="2160" w:hanging="180"/>
      </w:pPr>
    </w:lvl>
    <w:lvl w:ilvl="3" w:tplc="901CEE6E" w:tentative="1">
      <w:start w:val="1"/>
      <w:numFmt w:val="decimal"/>
      <w:lvlText w:val="%4."/>
      <w:lvlJc w:val="left"/>
      <w:pPr>
        <w:ind w:left="2880" w:hanging="360"/>
      </w:pPr>
    </w:lvl>
    <w:lvl w:ilvl="4" w:tplc="B50AD416" w:tentative="1">
      <w:start w:val="1"/>
      <w:numFmt w:val="lowerLetter"/>
      <w:lvlText w:val="%5."/>
      <w:lvlJc w:val="left"/>
      <w:pPr>
        <w:ind w:left="3600" w:hanging="360"/>
      </w:pPr>
    </w:lvl>
    <w:lvl w:ilvl="5" w:tplc="F39C3C38" w:tentative="1">
      <w:start w:val="1"/>
      <w:numFmt w:val="lowerRoman"/>
      <w:lvlText w:val="%6."/>
      <w:lvlJc w:val="right"/>
      <w:pPr>
        <w:ind w:left="4320" w:hanging="180"/>
      </w:pPr>
    </w:lvl>
    <w:lvl w:ilvl="6" w:tplc="BBAAE308" w:tentative="1">
      <w:start w:val="1"/>
      <w:numFmt w:val="decimal"/>
      <w:lvlText w:val="%7."/>
      <w:lvlJc w:val="left"/>
      <w:pPr>
        <w:ind w:left="5040" w:hanging="360"/>
      </w:pPr>
    </w:lvl>
    <w:lvl w:ilvl="7" w:tplc="39F24FF6" w:tentative="1">
      <w:start w:val="1"/>
      <w:numFmt w:val="lowerLetter"/>
      <w:lvlText w:val="%8."/>
      <w:lvlJc w:val="left"/>
      <w:pPr>
        <w:ind w:left="5760" w:hanging="360"/>
      </w:pPr>
    </w:lvl>
    <w:lvl w:ilvl="8" w:tplc="2398DA58" w:tentative="1">
      <w:start w:val="1"/>
      <w:numFmt w:val="lowerRoman"/>
      <w:lvlText w:val="%9."/>
      <w:lvlJc w:val="right"/>
      <w:pPr>
        <w:ind w:left="6480" w:hanging="180"/>
      </w:pPr>
    </w:lvl>
  </w:abstractNum>
  <w:abstractNum w:abstractNumId="4"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51863"/>
    <w:multiLevelType w:val="hybridMultilevel"/>
    <w:tmpl w:val="8132F938"/>
    <w:lvl w:ilvl="0" w:tplc="5C72090E">
      <w:start w:val="1"/>
      <w:numFmt w:val="lowerRoman"/>
      <w:lvlText w:val="(%1)"/>
      <w:lvlJc w:val="left"/>
      <w:pPr>
        <w:ind w:left="1080" w:hanging="720"/>
      </w:pPr>
      <w:rPr>
        <w:rFonts w:hint="default"/>
        <w:b w:val="0"/>
        <w:bCs/>
      </w:rPr>
    </w:lvl>
    <w:lvl w:ilvl="1" w:tplc="A1A01498" w:tentative="1">
      <w:start w:val="1"/>
      <w:numFmt w:val="lowerLetter"/>
      <w:lvlText w:val="%2."/>
      <w:lvlJc w:val="left"/>
      <w:pPr>
        <w:ind w:left="1440" w:hanging="360"/>
      </w:pPr>
    </w:lvl>
    <w:lvl w:ilvl="2" w:tplc="63E26696" w:tentative="1">
      <w:start w:val="1"/>
      <w:numFmt w:val="lowerRoman"/>
      <w:lvlText w:val="%3."/>
      <w:lvlJc w:val="right"/>
      <w:pPr>
        <w:ind w:left="2160" w:hanging="180"/>
      </w:pPr>
    </w:lvl>
    <w:lvl w:ilvl="3" w:tplc="285E2234" w:tentative="1">
      <w:start w:val="1"/>
      <w:numFmt w:val="decimal"/>
      <w:lvlText w:val="%4."/>
      <w:lvlJc w:val="left"/>
      <w:pPr>
        <w:ind w:left="2880" w:hanging="360"/>
      </w:pPr>
    </w:lvl>
    <w:lvl w:ilvl="4" w:tplc="A672078A" w:tentative="1">
      <w:start w:val="1"/>
      <w:numFmt w:val="lowerLetter"/>
      <w:lvlText w:val="%5."/>
      <w:lvlJc w:val="left"/>
      <w:pPr>
        <w:ind w:left="3600" w:hanging="360"/>
      </w:pPr>
    </w:lvl>
    <w:lvl w:ilvl="5" w:tplc="9D44A08A" w:tentative="1">
      <w:start w:val="1"/>
      <w:numFmt w:val="lowerRoman"/>
      <w:lvlText w:val="%6."/>
      <w:lvlJc w:val="right"/>
      <w:pPr>
        <w:ind w:left="4320" w:hanging="180"/>
      </w:pPr>
    </w:lvl>
    <w:lvl w:ilvl="6" w:tplc="43B00DC4" w:tentative="1">
      <w:start w:val="1"/>
      <w:numFmt w:val="decimal"/>
      <w:lvlText w:val="%7."/>
      <w:lvlJc w:val="left"/>
      <w:pPr>
        <w:ind w:left="5040" w:hanging="360"/>
      </w:pPr>
    </w:lvl>
    <w:lvl w:ilvl="7" w:tplc="9888427A" w:tentative="1">
      <w:start w:val="1"/>
      <w:numFmt w:val="lowerLetter"/>
      <w:lvlText w:val="%8."/>
      <w:lvlJc w:val="left"/>
      <w:pPr>
        <w:ind w:left="5760" w:hanging="360"/>
      </w:pPr>
    </w:lvl>
    <w:lvl w:ilvl="8" w:tplc="AFA84C4C" w:tentative="1">
      <w:start w:val="1"/>
      <w:numFmt w:val="lowerRoman"/>
      <w:lvlText w:val="%9."/>
      <w:lvlJc w:val="right"/>
      <w:pPr>
        <w:ind w:left="6480" w:hanging="180"/>
      </w:pPr>
    </w:lvl>
  </w:abstractNum>
  <w:num w:numId="1" w16cid:durableId="1379624023">
    <w:abstractNumId w:val="2"/>
  </w:num>
  <w:num w:numId="2" w16cid:durableId="738937531">
    <w:abstractNumId w:val="4"/>
  </w:num>
  <w:num w:numId="3" w16cid:durableId="1085804486">
    <w:abstractNumId w:val="5"/>
  </w:num>
  <w:num w:numId="4" w16cid:durableId="1161697340">
    <w:abstractNumId w:val="3"/>
  </w:num>
  <w:num w:numId="5" w16cid:durableId="484787871">
    <w:abstractNumId w:val="6"/>
  </w:num>
  <w:num w:numId="6" w16cid:durableId="771052703">
    <w:abstractNumId w:val="0"/>
  </w:num>
  <w:num w:numId="7" w16cid:durableId="208537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Text" w:val="True"/>
    <w:docVar w:name="DocIDType" w:val="AllPages"/>
  </w:docVars>
  <w:rsids>
    <w:rsidRoot w:val="006456E6"/>
    <w:rsid w:val="004B1B2C"/>
    <w:rsid w:val="006456E6"/>
    <w:rsid w:val="00FE465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F08ADD"/>
  <w15:docId w15:val="{6CE88C53-9191-4831-8211-6DBC2307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cs="Arial"/>
      <w:sz w:val="22"/>
      <w:szCs w:val="22"/>
    </w:rPr>
  </w:style>
  <w:style w:type="paragraph" w:styleId="Heading1">
    <w:name w:val="heading 1"/>
    <w:basedOn w:val="Normal"/>
    <w:next w:val="Normal"/>
    <w:qFormat/>
    <w:pPr>
      <w:keepNext/>
      <w:spacing w:after="240"/>
      <w:jc w:val="center"/>
      <w:outlineLvl w:val="0"/>
    </w:pPr>
    <w:rPr>
      <w:b/>
      <w:szCs w:val="20"/>
    </w:rPr>
  </w:style>
  <w:style w:type="paragraph" w:styleId="Heading2">
    <w:name w:val="heading 2"/>
    <w:basedOn w:val="Normal"/>
    <w:next w:val="Normal"/>
    <w:qFormat/>
    <w:pPr>
      <w:keepNext/>
      <w:spacing w:after="240"/>
      <w:outlineLvl w:val="1"/>
    </w:pPr>
    <w:rPr>
      <w:b/>
      <w:szCs w:val="20"/>
    </w:rPr>
  </w:style>
  <w:style w:type="paragraph" w:styleId="Heading3">
    <w:name w:val="heading 3"/>
    <w:basedOn w:val="Normal"/>
    <w:next w:val="Normal"/>
    <w:link w:val="Heading3Char"/>
    <w:qFormat/>
    <w:pPr>
      <w:keepNext/>
      <w:spacing w:after="240"/>
      <w:outlineLvl w:val="2"/>
    </w:pPr>
    <w:rPr>
      <w:b/>
      <w:szCs w:val="20"/>
    </w:rPr>
  </w:style>
  <w:style w:type="paragraph" w:styleId="Heading4">
    <w:name w:val="heading 4"/>
    <w:basedOn w:val="Normal"/>
    <w:next w:val="Normal"/>
    <w:qFormat/>
    <w:pPr>
      <w:spacing w:after="240"/>
      <w:outlineLvl w:val="3"/>
    </w:pPr>
    <w:rPr>
      <w:szCs w:val="20"/>
    </w:rPr>
  </w:style>
  <w:style w:type="paragraph" w:styleId="Heading5">
    <w:name w:val="heading 5"/>
    <w:basedOn w:val="Normal"/>
    <w:next w:val="Normal"/>
    <w:qFormat/>
    <w:pPr>
      <w:spacing w:after="240"/>
      <w:outlineLvl w:val="4"/>
    </w:pPr>
    <w:rPr>
      <w:szCs w:val="20"/>
    </w:rPr>
  </w:style>
  <w:style w:type="paragraph" w:styleId="Heading6">
    <w:name w:val="heading 6"/>
    <w:basedOn w:val="Normal"/>
    <w:next w:val="Normal"/>
    <w:qFormat/>
    <w:pPr>
      <w:spacing w:after="240"/>
      <w:outlineLvl w:val="5"/>
    </w:pPr>
    <w:rPr>
      <w:szCs w:val="20"/>
    </w:rPr>
  </w:style>
  <w:style w:type="paragraph" w:styleId="Heading7">
    <w:name w:val="heading 7"/>
    <w:basedOn w:val="Normal"/>
    <w:next w:val="Normal"/>
    <w:qFormat/>
    <w:pPr>
      <w:spacing w:after="240"/>
      <w:outlineLvl w:val="6"/>
    </w:pPr>
    <w:rPr>
      <w:szCs w:val="20"/>
    </w:rPr>
  </w:style>
  <w:style w:type="paragraph" w:styleId="Heading8">
    <w:name w:val="heading 8"/>
    <w:basedOn w:val="Normal"/>
    <w:next w:val="Normal"/>
    <w:qFormat/>
    <w:pPr>
      <w:spacing w:after="240"/>
      <w:outlineLvl w:val="7"/>
    </w:pPr>
    <w:rPr>
      <w:szCs w:val="20"/>
    </w:rPr>
  </w:style>
  <w:style w:type="paragraph" w:styleId="Heading9">
    <w:name w:val="heading 9"/>
    <w:basedOn w:val="Normal"/>
    <w:next w:val="Normal"/>
    <w:qFormat/>
    <w:p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5"/>
    <w:basedOn w:val="Normal"/>
    <w:pPr>
      <w:spacing w:after="240"/>
    </w:pPr>
    <w:rPr>
      <w:szCs w:val="20"/>
    </w:rPr>
  </w:style>
  <w:style w:type="paragraph" w:customStyle="1" w:styleId="BodyText15">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1440" w:right="1440"/>
    </w:pPr>
  </w:style>
  <w:style w:type="paragraph" w:customStyle="1" w:styleId="Double">
    <w:name w:val="Double"/>
    <w:basedOn w:val="Normal"/>
    <w:pPr>
      <w:spacing w:line="480" w:lineRule="auto"/>
      <w:ind w:firstLine="1440"/>
    </w:pPr>
    <w:rPr>
      <w:szCs w:val="20"/>
    </w:rPr>
  </w:style>
  <w:style w:type="paragraph" w:customStyle="1" w:styleId="Doublewtripleafter">
    <w:name w:val="Double w/triple after"/>
    <w:basedOn w:val="Normal"/>
    <w:pPr>
      <w:spacing w:after="240" w:line="480" w:lineRule="auto"/>
      <w:ind w:firstLine="1440"/>
    </w:pPr>
    <w:rPr>
      <w:szCs w:val="20"/>
    </w:rPr>
  </w:style>
  <w:style w:type="paragraph" w:styleId="EndnoteText">
    <w:name w:val="endnote text"/>
    <w:basedOn w:val="Normal"/>
    <w:semiHidden/>
    <w:pPr>
      <w:spacing w:after="240"/>
    </w:pPr>
    <w:rPr>
      <w:szCs w:val="20"/>
    </w:rPr>
  </w:style>
  <w:style w:type="paragraph" w:styleId="EnvelopeReturn">
    <w:name w:val="envelope return"/>
    <w:basedOn w:val="Normal"/>
    <w:rPr>
      <w:szCs w:val="20"/>
    </w:rPr>
  </w:style>
  <w:style w:type="paragraph" w:customStyle="1" w:styleId="Exactly">
    <w:name w:val="Exactly"/>
    <w:basedOn w:val="Normal"/>
    <w:pPr>
      <w:spacing w:after="240" w:line="480" w:lineRule="exact"/>
      <w:ind w:firstLine="1440"/>
    </w:pPr>
    <w:rPr>
      <w:szCs w:val="20"/>
    </w:rPr>
  </w:style>
  <w:style w:type="paragraph" w:customStyle="1" w:styleId="Exactly12">
    <w:name w:val="Exactly 12"/>
    <w:basedOn w:val="Normal"/>
    <w:pPr>
      <w:spacing w:line="240" w:lineRule="exact"/>
    </w:pPr>
    <w:rPr>
      <w:szCs w:val="20"/>
    </w:rPr>
  </w:style>
  <w:style w:type="paragraph" w:customStyle="1" w:styleId="Exactly12indent">
    <w:name w:val="Exactly 12 indent"/>
    <w:basedOn w:val="Normal"/>
    <w:pPr>
      <w:spacing w:line="240" w:lineRule="exact"/>
      <w:ind w:left="1440" w:right="1440"/>
    </w:pPr>
    <w:rPr>
      <w:szCs w:val="20"/>
    </w:rPr>
  </w:style>
  <w:style w:type="paragraph" w:customStyle="1" w:styleId="Exactly24">
    <w:name w:val="Exactly 24"/>
    <w:basedOn w:val="Normal"/>
    <w:pPr>
      <w:spacing w:line="480" w:lineRule="exact"/>
    </w:pPr>
    <w:rPr>
      <w:szCs w:val="20"/>
    </w:rPr>
  </w:style>
  <w:style w:type="paragraph" w:customStyle="1" w:styleId="ExactlyDoubleSpacing">
    <w:name w:val="Exactly Double Spacing"/>
    <w:basedOn w:val="Normal"/>
    <w:pPr>
      <w:spacing w:line="480" w:lineRule="exact"/>
    </w:pPr>
    <w:rPr>
      <w:szCs w:val="20"/>
    </w:rPr>
  </w:style>
  <w:style w:type="paragraph" w:customStyle="1" w:styleId="ExactlySingleSpacing">
    <w:name w:val="Exactly Single Spacing"/>
    <w:basedOn w:val="Normal"/>
    <w:pPr>
      <w:spacing w:line="240" w:lineRule="exact"/>
    </w:pPr>
    <w:rPr>
      <w:szCs w:val="20"/>
    </w:rPr>
  </w:style>
  <w:style w:type="paragraph" w:styleId="Footer">
    <w:name w:val="footer"/>
    <w:basedOn w:val="Normal"/>
    <w:link w:val="FooterChar"/>
    <w:uiPriority w:val="99"/>
    <w:pPr>
      <w:tabs>
        <w:tab w:val="center" w:pos="4680"/>
        <w:tab w:val="right" w:pos="9360"/>
      </w:tabs>
    </w:pPr>
    <w:rPr>
      <w:szCs w:val="20"/>
    </w:rPr>
  </w:style>
  <w:style w:type="paragraph" w:styleId="FootnoteText">
    <w:name w:val="footnote text"/>
    <w:basedOn w:val="Normal"/>
    <w:link w:val="FootnoteTextChar"/>
    <w:semiHidden/>
    <w:pPr>
      <w:spacing w:after="240"/>
    </w:pPr>
    <w:rPr>
      <w:szCs w:val="20"/>
    </w:rPr>
  </w:style>
  <w:style w:type="paragraph" w:styleId="Header">
    <w:name w:val="header"/>
    <w:basedOn w:val="Normal"/>
    <w:pPr>
      <w:tabs>
        <w:tab w:val="center" w:pos="4680"/>
        <w:tab w:val="right" w:pos="9360"/>
      </w:tabs>
    </w:pPr>
    <w:rPr>
      <w:szCs w:val="20"/>
    </w:rPr>
  </w:style>
  <w:style w:type="character" w:customStyle="1" w:styleId="HiddenText">
    <w:name w:val="Hidden Text"/>
    <w:rPr>
      <w:vanish/>
      <w:color w:val="FF0000"/>
    </w:rPr>
  </w:style>
  <w:style w:type="paragraph" w:customStyle="1" w:styleId="Indent1">
    <w:name w:val="Indent1"/>
    <w:basedOn w:val="Normal"/>
    <w:next w:val="Exactly24"/>
    <w:pPr>
      <w:spacing w:after="240"/>
      <w:ind w:left="1440" w:right="1440"/>
    </w:pPr>
    <w:rPr>
      <w:szCs w:val="20"/>
    </w:rPr>
  </w:style>
  <w:style w:type="paragraph" w:customStyle="1" w:styleId="Indent5">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rPr>
      <w:lang w:val="en-US"/>
    </w:rPr>
  </w:style>
  <w:style w:type="paragraph" w:styleId="Quote">
    <w:name w:val="Quote"/>
    <w:basedOn w:val="Normal"/>
    <w:qFormat/>
    <w:pPr>
      <w:spacing w:after="240"/>
      <w:ind w:left="1440" w:right="1440"/>
    </w:pPr>
  </w:style>
  <w:style w:type="paragraph" w:styleId="Signature">
    <w:name w:val="Signature"/>
    <w:basedOn w:val="Normal"/>
    <w:pPr>
      <w:ind w:left="4320"/>
    </w:pPr>
  </w:style>
  <w:style w:type="paragraph" w:styleId="Subtitle">
    <w:name w:val="Subtitle"/>
    <w:basedOn w:val="Normal"/>
    <w:qFormat/>
    <w:pPr>
      <w:spacing w:after="240"/>
      <w:jc w:val="center"/>
    </w:pPr>
  </w:style>
  <w:style w:type="paragraph" w:styleId="TableofAuthorities">
    <w:name w:val="table of authorities"/>
    <w:basedOn w:val="Normal"/>
    <w:next w:val="Normal"/>
    <w:semiHidden/>
    <w:pPr>
      <w:tabs>
        <w:tab w:val="right" w:leader="dot" w:pos="9360"/>
      </w:tabs>
      <w:ind w:left="720" w:right="720" w:hanging="72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after="240"/>
      <w:jc w:val="center"/>
    </w:pPr>
    <w:rPr>
      <w:b/>
    </w:rPr>
  </w:style>
  <w:style w:type="paragraph" w:styleId="TOC1">
    <w:name w:val="toc 1"/>
    <w:basedOn w:val="Normal"/>
    <w:next w:val="Normal"/>
    <w:autoRedefine/>
    <w:semiHidden/>
    <w:pPr>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customStyle="1" w:styleId="BulletedList">
    <w:name w:val="Bulleted List"/>
    <w:basedOn w:val="Normal"/>
    <w:pPr>
      <w:numPr>
        <w:numId w:val="1"/>
      </w:numPr>
      <w:spacing w:after="240"/>
    </w:pPr>
  </w:style>
  <w:style w:type="paragraph" w:customStyle="1" w:styleId="SINGLE5">
    <w:name w:val="SINGLE_5"/>
    <w:basedOn w:val="Normal"/>
    <w:pPr>
      <w:overflowPunct w:val="0"/>
      <w:spacing w:after="240"/>
      <w:ind w:firstLine="720"/>
    </w:pPr>
    <w:rPr>
      <w:rFonts w:ascii="Times New Roman" w:hAnsi="Times New Roman" w:cs="Times New Roman"/>
      <w:sz w:val="24"/>
      <w:szCs w:val="20"/>
    </w:rPr>
  </w:style>
  <w:style w:type="paragraph" w:customStyle="1" w:styleId="single15">
    <w:name w:val="single_1.5"/>
    <w:basedOn w:val="Normal"/>
    <w:pPr>
      <w:overflowPunct w:val="0"/>
      <w:spacing w:after="240"/>
      <w:ind w:firstLine="2160"/>
    </w:pPr>
    <w:rPr>
      <w:rFonts w:ascii="Times New Roman" w:hAnsi="Times New Roman" w:cs="Times New Roman"/>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bidi="ar-SA"/>
    </w:rPr>
  </w:style>
  <w:style w:type="character" w:customStyle="1" w:styleId="Heading3Char">
    <w:name w:val="Heading 3 Char"/>
    <w:link w:val="Heading3"/>
    <w:rPr>
      <w:rFonts w:ascii="Arial" w:hAnsi="Arial" w:cs="Arial"/>
      <w:b/>
      <w:sz w:val="22"/>
      <w:lang w:bidi="ar-SA"/>
    </w:rPr>
  </w:style>
  <w:style w:type="character" w:customStyle="1" w:styleId="FooterChar">
    <w:name w:val="Footer Char"/>
    <w:link w:val="Footer"/>
    <w:uiPriority w:val="99"/>
    <w:rPr>
      <w:rFonts w:ascii="Arial" w:hAnsi="Arial" w:cs="Arial"/>
      <w:sz w:val="22"/>
      <w:lang w:bidi="ar-SA"/>
    </w:rPr>
  </w:style>
  <w:style w:type="character" w:styleId="PlaceholderText">
    <w:name w:val="Placeholder Text"/>
    <w:uiPriority w:val="99"/>
    <w:semiHidden/>
    <w:rPr>
      <w:color w:val="808080"/>
    </w:rPr>
  </w:style>
  <w:style w:type="character" w:styleId="FootnoteReference">
    <w:name w:val="footnote reference"/>
    <w:rPr>
      <w:vertAlign w:val="superscript"/>
    </w:rPr>
  </w:style>
  <w:style w:type="character" w:customStyle="1" w:styleId="FootnoteTextChar">
    <w:name w:val="Footnote Text Char"/>
    <w:link w:val="FootnoteText"/>
    <w:semiHidden/>
    <w:rPr>
      <w:rFonts w:ascii="Arial" w:hAnsi="Arial" w:cs="Arial"/>
      <w:sz w:val="22"/>
      <w:lang w:bidi="ar-SA"/>
    </w:rPr>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rFonts w:ascii="Arial" w:hAnsi="Arial" w:cs="Arial"/>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rFonts w:ascii="Arial" w:hAnsi="Arial" w:cs="Arial"/>
      <w:b/>
      <w:bCs/>
      <w:sz w:val="24"/>
      <w:szCs w:val="24"/>
    </w:rPr>
  </w:style>
  <w:style w:type="character" w:customStyle="1" w:styleId="DocID">
    <w:name w:val="DocID"/>
    <w:basedOn w:val="DefaultParagraphFont"/>
    <w:rPr>
      <w:rFonts w:ascii="Arial" w:hAnsi="Arial" w:cs="Arial"/>
      <w:b w:val="0"/>
      <w:i w:val="0"/>
      <w:caps w:val="0"/>
      <w:vanish w:val="0"/>
      <w:color w:val="000000"/>
      <w:sz w:val="15"/>
      <w:szCs w:val="21"/>
      <w:u w:val="none"/>
    </w:rPr>
  </w:style>
  <w:style w:type="paragraph" w:styleId="Revision">
    <w:name w:val="Revision"/>
    <w:hidden/>
    <w:uiPriority w:val="66"/>
    <w:semiHidden/>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David</dc:creator>
  <cp:lastModifiedBy>Bicek, Tiffany</cp:lastModifiedBy>
  <cp:revision>3</cp:revision>
  <cp:lastPrinted>2023-03-27T13:04:00Z</cp:lastPrinted>
  <dcterms:created xsi:type="dcterms:W3CDTF">2023-03-27T15:54:00Z</dcterms:created>
  <dcterms:modified xsi:type="dcterms:W3CDTF">2023-03-27T15:54:00Z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